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文科试验班评奖评优工作细则</w:t>
      </w:r>
    </w:p>
    <w:p>
      <w:pPr>
        <w:adjustRightInd w:val="0"/>
        <w:snapToGrid w:val="0"/>
        <w:spacing w:line="560" w:lineRule="exact"/>
        <w:ind w:firstLine="640" w:firstLineChars="200"/>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了全面贯彻党的教育方针，建设优良校风学风，树立先进典型，鼓励本科生刻苦学习、奋发向上，成为德智体美全面发展的社会主义合格建设者和接班人，根据教育部《普通高等学校学生管理规定》和《东南大学学生奖励条例》，结合文科试验班的实际情况，制定本条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本条例适用于东南大学文科试验班在籍的全日制大类本科生第二学年</w:t>
      </w:r>
      <w:r>
        <w:rPr>
          <w:rFonts w:ascii="仿宋_GB2312" w:hAnsi="仿宋" w:eastAsia="仿宋_GB2312"/>
          <w:sz w:val="32"/>
          <w:szCs w:val="32"/>
        </w:rPr>
        <w:t>秋季评奖评优工作</w:t>
      </w:r>
      <w:r>
        <w:rPr>
          <w:rFonts w:hint="eastAsia" w:ascii="仿宋_GB2312" w:hAnsi="仿宋" w:eastAsia="仿宋_GB2312"/>
          <w:sz w:val="32"/>
          <w:szCs w:val="32"/>
        </w:rPr>
        <w:t>。从第二学年春季</w:t>
      </w:r>
      <w:r>
        <w:rPr>
          <w:rFonts w:ascii="仿宋_GB2312" w:hAnsi="仿宋" w:eastAsia="仿宋_GB2312"/>
          <w:sz w:val="32"/>
          <w:szCs w:val="32"/>
        </w:rPr>
        <w:t>学期开始，评奖评优工作按照学生分流后所在学院相关工作细则实施。</w:t>
      </w:r>
    </w:p>
    <w:p>
      <w:pPr>
        <w:tabs>
          <w:tab w:val="left" w:pos="993"/>
        </w:tabs>
        <w:adjustRightInd w:val="0"/>
        <w:snapToGrid w:val="0"/>
        <w:spacing w:line="560" w:lineRule="exact"/>
        <w:ind w:left="643"/>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、评选</w:t>
      </w:r>
      <w:r>
        <w:rPr>
          <w:rFonts w:hint="eastAsia" w:ascii="黑体" w:hAnsi="黑体" w:eastAsia="黑体" w:cs="Times New Roman"/>
          <w:sz w:val="32"/>
          <w:szCs w:val="32"/>
        </w:rPr>
        <w:t>机构</w:t>
      </w:r>
    </w:p>
    <w:p>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荣誉称号、</w:t>
      </w:r>
      <w:r>
        <w:rPr>
          <w:rFonts w:hint="eastAsia" w:ascii="仿宋_GB2312" w:hAnsi="仿宋" w:eastAsia="仿宋_GB2312"/>
          <w:sz w:val="32"/>
          <w:szCs w:val="32"/>
        </w:rPr>
        <w:t>奖助学金</w:t>
      </w:r>
      <w:r>
        <w:rPr>
          <w:rFonts w:ascii="仿宋_GB2312" w:hAnsi="仿宋" w:eastAsia="仿宋_GB2312"/>
          <w:sz w:val="32"/>
          <w:szCs w:val="32"/>
        </w:rPr>
        <w:t>的评选</w:t>
      </w:r>
      <w:r>
        <w:rPr>
          <w:rFonts w:hint="eastAsia" w:ascii="仿宋_GB2312" w:hAnsi="仿宋" w:eastAsia="仿宋_GB2312"/>
          <w:sz w:val="32"/>
          <w:szCs w:val="32"/>
        </w:rPr>
        <w:t>须遵循公平、公正、公开的原则，每学年成立文科试验班评奖评优工作组（以下</w:t>
      </w:r>
      <w:r>
        <w:rPr>
          <w:rFonts w:ascii="仿宋_GB2312" w:hAnsi="仿宋" w:eastAsia="仿宋_GB2312"/>
          <w:sz w:val="32"/>
          <w:szCs w:val="32"/>
        </w:rPr>
        <w:t>简称工作组）</w:t>
      </w:r>
      <w:r>
        <w:rPr>
          <w:rFonts w:hint="eastAsia" w:ascii="仿宋_GB2312" w:hAnsi="仿宋" w:eastAsia="仿宋_GB2312"/>
          <w:sz w:val="32"/>
          <w:szCs w:val="32"/>
        </w:rPr>
        <w:t>，由</w:t>
      </w:r>
      <w:r>
        <w:rPr>
          <w:rFonts w:ascii="仿宋_GB2312" w:hAnsi="仿宋" w:eastAsia="仿宋_GB2312"/>
          <w:sz w:val="32"/>
          <w:szCs w:val="32"/>
        </w:rPr>
        <w:t>文科试验班</w:t>
      </w:r>
      <w:r>
        <w:rPr>
          <w:rFonts w:hint="eastAsia" w:ascii="仿宋_GB2312" w:hAnsi="仿宋" w:eastAsia="仿宋_GB2312"/>
          <w:sz w:val="32"/>
          <w:szCs w:val="32"/>
        </w:rPr>
        <w:t>托管学院分管学生工作的党委副书记担任工作组组长，其他</w:t>
      </w:r>
      <w:r>
        <w:rPr>
          <w:rFonts w:ascii="仿宋_GB2312" w:hAnsi="仿宋" w:eastAsia="仿宋_GB2312"/>
          <w:sz w:val="32"/>
          <w:szCs w:val="32"/>
        </w:rPr>
        <w:t>涉及学院分管学生工作的党委副书记担任副组长</w:t>
      </w:r>
      <w:r>
        <w:rPr>
          <w:rFonts w:hint="eastAsia" w:ascii="仿宋_GB2312" w:hAnsi="仿宋" w:eastAsia="仿宋_GB2312"/>
          <w:sz w:val="32"/>
          <w:szCs w:val="32"/>
        </w:rPr>
        <w:t>，各相关学院辅导员担任成员</w:t>
      </w:r>
      <w:r>
        <w:rPr>
          <w:rFonts w:ascii="仿宋_GB2312" w:hAnsi="仿宋" w:eastAsia="仿宋_GB2312"/>
          <w:sz w:val="32"/>
          <w:szCs w:val="32"/>
        </w:rPr>
        <w:t>。</w:t>
      </w:r>
    </w:p>
    <w:p>
      <w:pPr>
        <w:tabs>
          <w:tab w:val="left" w:pos="993"/>
        </w:tabs>
        <w:adjustRightInd w:val="0"/>
        <w:snapToGrid w:val="0"/>
        <w:spacing w:line="560" w:lineRule="exact"/>
        <w:ind w:left="643"/>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评选条件</w:t>
      </w:r>
    </w:p>
    <w:p>
      <w:pPr>
        <w:pStyle w:val="16"/>
        <w:adjustRightInd w:val="0"/>
        <w:snapToGrid w:val="0"/>
        <w:spacing w:line="560" w:lineRule="exact"/>
        <w:ind w:firstLine="640"/>
        <w:rPr>
          <w:rFonts w:ascii="楷体_GB2312" w:hAnsi="仿宋" w:eastAsia="楷体_GB2312"/>
          <w:sz w:val="32"/>
          <w:szCs w:val="32"/>
        </w:rPr>
      </w:pPr>
      <w:r>
        <w:rPr>
          <w:rFonts w:hint="eastAsia" w:ascii="楷体_GB2312" w:hAnsi="仿宋" w:eastAsia="楷体_GB2312"/>
          <w:sz w:val="32"/>
          <w:szCs w:val="32"/>
        </w:rPr>
        <w:t>（一）奖励对象</w:t>
      </w:r>
    </w:p>
    <w:p>
      <w:pPr>
        <w:pStyle w:val="16"/>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文科</w:t>
      </w:r>
      <w:r>
        <w:rPr>
          <w:rFonts w:ascii="仿宋_GB2312" w:hAnsi="仿宋" w:eastAsia="仿宋_GB2312"/>
          <w:sz w:val="32"/>
          <w:szCs w:val="32"/>
        </w:rPr>
        <w:t>试验班</w:t>
      </w:r>
      <w:r>
        <w:rPr>
          <w:rFonts w:hint="eastAsia" w:ascii="仿宋_GB2312" w:hAnsi="仿宋" w:eastAsia="仿宋_GB2312"/>
          <w:sz w:val="32"/>
          <w:szCs w:val="32"/>
        </w:rPr>
        <w:t>品学兼优</w:t>
      </w:r>
      <w:r>
        <w:rPr>
          <w:rFonts w:ascii="仿宋_GB2312" w:hAnsi="仿宋" w:eastAsia="仿宋_GB2312"/>
          <w:sz w:val="32"/>
          <w:szCs w:val="32"/>
        </w:rPr>
        <w:t>的大二</w:t>
      </w:r>
      <w:r>
        <w:rPr>
          <w:rFonts w:hint="eastAsia" w:ascii="仿宋_GB2312" w:hAnsi="仿宋" w:eastAsia="仿宋_GB2312"/>
          <w:sz w:val="32"/>
          <w:szCs w:val="32"/>
        </w:rPr>
        <w:t>本科生，获奖者由学校或设奖单位颁发奖金和证书。</w:t>
      </w:r>
    </w:p>
    <w:p>
      <w:pPr>
        <w:pStyle w:val="16"/>
        <w:adjustRightInd w:val="0"/>
        <w:snapToGrid w:val="0"/>
        <w:spacing w:line="560" w:lineRule="exact"/>
        <w:ind w:firstLine="640"/>
        <w:rPr>
          <w:rFonts w:ascii="楷体_GB2312" w:hAnsi="仿宋" w:eastAsia="楷体_GB2312"/>
          <w:sz w:val="32"/>
          <w:szCs w:val="32"/>
        </w:rPr>
      </w:pPr>
      <w:r>
        <w:rPr>
          <w:rFonts w:hint="eastAsia" w:ascii="楷体_GB2312" w:hAnsi="仿宋" w:eastAsia="楷体_GB2312"/>
          <w:sz w:val="32"/>
          <w:szCs w:val="32"/>
        </w:rPr>
        <w:t>（二）申请条件</w:t>
      </w:r>
    </w:p>
    <w:p>
      <w:pPr>
        <w:autoSpaceDE w:val="0"/>
        <w:adjustRightInd w:val="0"/>
        <w:snapToGrid w:val="0"/>
        <w:spacing w:line="56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符合东南大学各类荣誉称号、奖助学金申请条件和要求者，且满足以下条件：</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（1）拥护中国共产党的领导，坚定“四个自信”、树立正确的三观；坚定理想信念，树立爱国主义思想；</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 xml:space="preserve">（2）遵纪守法，严格遵守《高等学校学生行为准则》和学校的各项规章制度； </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 xml:space="preserve">（3）热爱所学专业，学习刻苦，奋发向上，严谨踏实，勇于创新； </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 xml:space="preserve">（4）尊敬师长，团结同学，关心集体，自觉维护集体利益，积极参加集体活动和公益活动； </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 xml:space="preserve">（5）热爱劳动，勤俭节约，诚实守信，道德品质优良，以身作则，在集体中起良好的模范带头作用； </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（6）积极参加体育锻炼，身心健康。</w:t>
      </w:r>
    </w:p>
    <w:p>
      <w:pPr>
        <w:autoSpaceDE w:val="0"/>
        <w:adjustRightInd w:val="0"/>
        <w:snapToGrid w:val="0"/>
        <w:spacing w:line="560" w:lineRule="exact"/>
        <w:ind w:firstLine="632" w:firstLineChars="200"/>
        <w:textAlignment w:val="baseline"/>
        <w:rPr>
          <w:rFonts w:ascii="仿宋_GB2312" w:hAnsi="仿宋" w:eastAsia="仿宋_GB2312" w:cs="仿宋"/>
          <w:spacing w:val="-2"/>
          <w:sz w:val="32"/>
          <w:szCs w:val="32"/>
        </w:rPr>
      </w:pPr>
      <w:r>
        <w:rPr>
          <w:rFonts w:hint="eastAsia" w:ascii="仿宋_GB2312" w:hAnsi="仿宋" w:eastAsia="仿宋_GB2312" w:cs="仿宋"/>
          <w:spacing w:val="-2"/>
          <w:sz w:val="32"/>
          <w:szCs w:val="32"/>
        </w:rPr>
        <w:t>2</w:t>
      </w:r>
      <w:r>
        <w:rPr>
          <w:rFonts w:ascii="仿宋_GB2312" w:hAnsi="仿宋" w:eastAsia="仿宋_GB2312" w:cs="仿宋"/>
          <w:spacing w:val="-2"/>
          <w:sz w:val="32"/>
          <w:szCs w:val="32"/>
        </w:rPr>
        <w:t>.</w:t>
      </w:r>
      <w:r>
        <w:rPr>
          <w:rFonts w:hint="eastAsia" w:ascii="仿宋_GB2312" w:hAnsi="仿宋" w:eastAsia="仿宋_GB2312" w:cs="仿宋"/>
          <w:spacing w:val="-2"/>
          <w:sz w:val="32"/>
          <w:szCs w:val="32"/>
        </w:rPr>
        <w:t>有下列情况之一者，不得参加评审：</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（1）在校期间受到警告以上纪律处分；</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（2）</w:t>
      </w:r>
      <w:r>
        <w:rPr>
          <w:rFonts w:hint="eastAsia" w:ascii="仿宋_GB2312" w:hAnsi="仿宋" w:eastAsia="仿宋_GB2312" w:cs="仿宋"/>
          <w:spacing w:val="-1"/>
          <w:sz w:val="32"/>
          <w:szCs w:val="32"/>
        </w:rPr>
        <w:t>评定学年度</w:t>
      </w:r>
      <w:r>
        <w:rPr>
          <w:rFonts w:hint="eastAsia" w:ascii="仿宋_GB2312" w:hAnsi="仿宋" w:eastAsia="仿宋_GB2312" w:cs="仿宋"/>
          <w:sz w:val="32"/>
          <w:szCs w:val="32"/>
        </w:rPr>
        <w:t>受到学院通报批评；</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（3）学术行为不端；</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（4）评定学年度本科生综合素质测评未达到优或良；</w:t>
      </w:r>
    </w:p>
    <w:p>
      <w:pPr>
        <w:autoSpaceDE w:val="0"/>
        <w:adjustRightInd w:val="0"/>
        <w:snapToGrid w:val="0"/>
        <w:spacing w:line="560" w:lineRule="exact"/>
        <w:ind w:firstLine="640" w:firstLineChars="200"/>
        <w:textAlignment w:val="baseline"/>
        <w:rPr>
          <w:rFonts w:ascii="仿宋_GB2312" w:hAnsi="仿宋" w:eastAsia="仿宋_GB2312" w:cs="仿宋"/>
          <w:spacing w:val="39"/>
          <w:sz w:val="32"/>
          <w:szCs w:val="32"/>
        </w:rPr>
      </w:pPr>
      <w:r>
        <w:rPr>
          <w:rFonts w:hint="eastAsia" w:ascii="仿宋_GB2312" w:hAnsi="仿宋" w:eastAsia="仿宋_GB2312" w:cs="仿宋"/>
          <w:sz w:val="32"/>
          <w:szCs w:val="32"/>
          <w:lang w:bidi="ar"/>
        </w:rPr>
        <w:t>（5）评</w:t>
      </w:r>
      <w:r>
        <w:rPr>
          <w:rFonts w:hint="eastAsia" w:ascii="仿宋_GB2312" w:hAnsi="仿宋" w:eastAsia="仿宋_GB2312" w:cs="仿宋"/>
          <w:spacing w:val="6"/>
          <w:sz w:val="32"/>
          <w:szCs w:val="32"/>
        </w:rPr>
        <w:t>定学年度有不及格课程(包括所有公选人文类等选修课程</w:t>
      </w:r>
      <w:r>
        <w:rPr>
          <w:rFonts w:hint="eastAsia" w:ascii="仿宋_GB2312" w:hAnsi="仿宋" w:eastAsia="仿宋_GB2312" w:cs="仿宋"/>
          <w:spacing w:val="39"/>
          <w:sz w:val="32"/>
          <w:szCs w:val="32"/>
        </w:rPr>
        <w:t>)；</w:t>
      </w:r>
    </w:p>
    <w:p>
      <w:pPr>
        <w:autoSpaceDE w:val="0"/>
        <w:adjustRightInd w:val="0"/>
        <w:snapToGrid w:val="0"/>
        <w:spacing w:line="560" w:lineRule="exact"/>
        <w:ind w:firstLine="640" w:firstLineChars="200"/>
        <w:textAlignment w:val="baseline"/>
        <w:rPr>
          <w:rFonts w:ascii="仿宋_GB2312" w:hAnsi="仿宋" w:eastAsia="仿宋_GB2312" w:cs="仿宋"/>
          <w:sz w:val="32"/>
          <w:szCs w:val="32"/>
          <w:lang w:bidi="ar"/>
        </w:rPr>
      </w:pPr>
      <w:r>
        <w:rPr>
          <w:rFonts w:hint="eastAsia" w:ascii="仿宋_GB2312" w:hAnsi="仿宋" w:eastAsia="仿宋_GB2312" w:cs="仿宋"/>
          <w:sz w:val="32"/>
          <w:szCs w:val="32"/>
          <w:lang w:bidi="ar"/>
        </w:rPr>
        <w:t>（</w:t>
      </w:r>
      <w:r>
        <w:rPr>
          <w:rFonts w:ascii="仿宋_GB2312" w:hAnsi="仿宋" w:eastAsia="仿宋_GB2312" w:cs="仿宋"/>
          <w:sz w:val="32"/>
          <w:szCs w:val="32"/>
          <w:lang w:bidi="ar"/>
        </w:rPr>
        <w:t>6</w:t>
      </w:r>
      <w:r>
        <w:rPr>
          <w:rFonts w:hint="eastAsia" w:ascii="仿宋_GB2312" w:hAnsi="仿宋" w:eastAsia="仿宋_GB2312" w:cs="仿宋"/>
          <w:sz w:val="32"/>
          <w:szCs w:val="32"/>
          <w:lang w:bidi="ar"/>
        </w:rPr>
        <w:t>）其他不适宜申报荣誉称号的行为或情况。</w:t>
      </w:r>
    </w:p>
    <w:p>
      <w:pPr>
        <w:autoSpaceDE w:val="0"/>
        <w:adjustRightInd w:val="0"/>
        <w:snapToGrid w:val="0"/>
        <w:spacing w:line="560" w:lineRule="exact"/>
        <w:ind w:firstLine="640" w:firstLineChars="200"/>
        <w:textAlignment w:val="baseline"/>
        <w:rPr>
          <w:rFonts w:ascii="仿宋_GB2312" w:hAnsi="仿宋" w:eastAsia="仿宋_GB2312" w:cs="仿宋"/>
          <w:spacing w:val="39"/>
          <w:sz w:val="32"/>
          <w:szCs w:val="32"/>
        </w:rPr>
      </w:pPr>
      <w:r>
        <w:rPr>
          <w:rFonts w:hint="eastAsia" w:ascii="仿宋_GB2312" w:hAnsi="仿宋" w:eastAsia="仿宋_GB2312" w:cs="仿宋"/>
          <w:sz w:val="32"/>
          <w:szCs w:val="32"/>
          <w:lang w:bidi="ar"/>
        </w:rPr>
        <w:t>3</w:t>
      </w:r>
      <w:r>
        <w:rPr>
          <w:rFonts w:ascii="仿宋_GB2312" w:hAnsi="仿宋" w:eastAsia="仿宋_GB2312" w:cs="仿宋"/>
          <w:sz w:val="32"/>
          <w:szCs w:val="32"/>
          <w:lang w:bidi="ar"/>
        </w:rPr>
        <w:t>.</w:t>
      </w:r>
      <w:r>
        <w:rPr>
          <w:rFonts w:hint="eastAsia" w:ascii="仿宋_GB2312" w:hAnsi="仿宋" w:eastAsia="仿宋_GB2312" w:cs="仿宋"/>
          <w:spacing w:val="-2"/>
          <w:sz w:val="32"/>
          <w:szCs w:val="32"/>
        </w:rPr>
        <w:t>除以上1、2项条件外，按当年学校各类荣誉称号、奖学金的具体规则和申报条件执行。</w:t>
      </w:r>
    </w:p>
    <w:p>
      <w:pPr>
        <w:pStyle w:val="16"/>
        <w:adjustRightInd w:val="0"/>
        <w:snapToGrid w:val="0"/>
        <w:spacing w:line="560" w:lineRule="exact"/>
        <w:ind w:firstLine="640"/>
        <w:rPr>
          <w:rFonts w:ascii="仿宋_GB2312" w:hAnsi="仿宋" w:eastAsia="仿宋_GB2312"/>
          <w:sz w:val="32"/>
          <w:szCs w:val="32"/>
        </w:rPr>
      </w:pPr>
      <w:r>
        <w:rPr>
          <w:rFonts w:ascii="楷体_GB2312" w:hAnsi="仿宋" w:eastAsia="楷体_GB2312"/>
          <w:sz w:val="32"/>
          <w:szCs w:val="32"/>
        </w:rPr>
        <w:t>4</w:t>
      </w:r>
      <w:r>
        <w:rPr>
          <w:rFonts w:hint="eastAsia" w:ascii="楷体_GB2312" w:hAnsi="仿宋" w:eastAsia="楷体_GB2312"/>
          <w:sz w:val="32"/>
          <w:szCs w:val="32"/>
        </w:rPr>
        <w:t>.</w:t>
      </w:r>
      <w:r>
        <w:rPr>
          <w:rFonts w:hint="eastAsia" w:ascii="仿宋_GB2312" w:hAnsi="仿宋" w:eastAsia="仿宋_GB2312"/>
          <w:sz w:val="32"/>
          <w:szCs w:val="32"/>
        </w:rPr>
        <w:t>国家奖学金、校长奖学金、国家励志奖学金不可兼得。</w:t>
      </w:r>
    </w:p>
    <w:p>
      <w:pPr>
        <w:tabs>
          <w:tab w:val="left" w:pos="993"/>
        </w:tabs>
        <w:adjustRightInd w:val="0"/>
        <w:snapToGrid w:val="0"/>
        <w:spacing w:line="560" w:lineRule="exact"/>
        <w:ind w:left="643"/>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w:t>
      </w:r>
      <w:r>
        <w:rPr>
          <w:rFonts w:hint="eastAsia" w:ascii="黑体" w:hAnsi="黑体" w:eastAsia="黑体" w:cs="Times New Roman"/>
          <w:sz w:val="32"/>
          <w:szCs w:val="32"/>
        </w:rPr>
        <w:t>评选程序及办法</w:t>
      </w:r>
    </w:p>
    <w:p>
      <w:pPr>
        <w:pStyle w:val="16"/>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荣誉</w:t>
      </w:r>
      <w:r>
        <w:rPr>
          <w:rFonts w:ascii="仿宋_GB2312" w:hAnsi="仿宋" w:eastAsia="仿宋_GB2312"/>
          <w:sz w:val="32"/>
          <w:szCs w:val="32"/>
        </w:rPr>
        <w:t>称号、奖助学金的申请条件均需符合《大学生手册》的有关规定。</w:t>
      </w:r>
      <w:r>
        <w:rPr>
          <w:rFonts w:hint="eastAsia" w:ascii="仿宋_GB2312" w:hAnsi="仿宋" w:eastAsia="仿宋_GB2312"/>
          <w:sz w:val="32"/>
          <w:szCs w:val="32"/>
        </w:rPr>
        <w:t>评选所用成绩为评定学年的首修平均分。评审结果需在大类</w:t>
      </w:r>
      <w:r>
        <w:rPr>
          <w:rFonts w:ascii="仿宋_GB2312" w:hAnsi="仿宋" w:eastAsia="仿宋_GB2312"/>
          <w:sz w:val="32"/>
          <w:szCs w:val="32"/>
        </w:rPr>
        <w:t>涉及的所有学院进行</w:t>
      </w:r>
      <w:r>
        <w:rPr>
          <w:rFonts w:hint="eastAsia" w:ascii="仿宋_GB2312" w:hAnsi="仿宋" w:eastAsia="仿宋_GB2312"/>
          <w:sz w:val="32"/>
          <w:szCs w:val="32"/>
        </w:rPr>
        <w:t>公示，接受学生监督。</w:t>
      </w:r>
    </w:p>
    <w:p>
      <w:pPr>
        <w:pStyle w:val="16"/>
        <w:adjustRightInd w:val="0"/>
        <w:snapToGrid w:val="0"/>
        <w:spacing w:line="560" w:lineRule="exact"/>
        <w:ind w:firstLine="640"/>
        <w:rPr>
          <w:rFonts w:ascii="楷体_GB2312" w:hAnsi="仿宋" w:eastAsia="楷体_GB2312"/>
          <w:sz w:val="32"/>
          <w:szCs w:val="32"/>
        </w:rPr>
      </w:pPr>
      <w:r>
        <w:rPr>
          <w:rFonts w:hint="eastAsia" w:ascii="楷体_GB2312" w:hAnsi="仿宋" w:eastAsia="楷体_GB2312"/>
          <w:sz w:val="32"/>
          <w:szCs w:val="32"/>
        </w:rPr>
        <w:t>（一）三好学生、优秀学生干部、三好学生标兵</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1.三好学生：名额按各相关学院人数比例确定，由</w:t>
      </w:r>
      <w:r>
        <w:rPr>
          <w:rFonts w:ascii="仿宋_GB2312" w:hAnsi="仿宋" w:eastAsia="仿宋_GB2312"/>
          <w:sz w:val="32"/>
          <w:szCs w:val="32"/>
        </w:rPr>
        <w:t>工作组组织评审工作</w:t>
      </w:r>
      <w:r>
        <w:rPr>
          <w:rFonts w:hint="eastAsia" w:ascii="仿宋_GB2312" w:hAnsi="仿宋" w:eastAsia="仿宋_GB2312"/>
          <w:sz w:val="32"/>
          <w:szCs w:val="32"/>
        </w:rPr>
        <w:t>，一般经个人</w:t>
      </w:r>
      <w:r>
        <w:rPr>
          <w:rFonts w:ascii="仿宋_GB2312" w:hAnsi="仿宋" w:eastAsia="仿宋_GB2312"/>
          <w:sz w:val="32"/>
          <w:szCs w:val="32"/>
        </w:rPr>
        <w:t>自荐</w:t>
      </w:r>
      <w:r>
        <w:rPr>
          <w:rFonts w:hint="eastAsia" w:ascii="仿宋_GB2312" w:hAnsi="仿宋" w:eastAsia="仿宋_GB2312"/>
          <w:sz w:val="32"/>
          <w:szCs w:val="32"/>
        </w:rPr>
        <w:t>、</w:t>
      </w:r>
      <w:r>
        <w:rPr>
          <w:rFonts w:ascii="仿宋_GB2312" w:hAnsi="仿宋" w:eastAsia="仿宋_GB2312"/>
          <w:sz w:val="32"/>
          <w:szCs w:val="32"/>
        </w:rPr>
        <w:t>班级推荐</w:t>
      </w:r>
      <w:r>
        <w:rPr>
          <w:rFonts w:hint="eastAsia" w:ascii="仿宋_GB2312" w:hAnsi="仿宋" w:eastAsia="仿宋_GB2312"/>
          <w:sz w:val="32"/>
          <w:szCs w:val="32"/>
        </w:rPr>
        <w:t>后，采取书面评审或</w:t>
      </w:r>
      <w:r>
        <w:rPr>
          <w:rFonts w:ascii="仿宋_GB2312" w:hAnsi="仿宋" w:eastAsia="仿宋_GB2312"/>
          <w:sz w:val="32"/>
          <w:szCs w:val="32"/>
        </w:rPr>
        <w:t>答辩</w:t>
      </w:r>
      <w:r>
        <w:rPr>
          <w:rFonts w:hint="eastAsia" w:ascii="仿宋_GB2312" w:hAnsi="仿宋" w:eastAsia="仿宋_GB2312"/>
          <w:sz w:val="32"/>
          <w:szCs w:val="32"/>
        </w:rPr>
        <w:t>评分</w:t>
      </w:r>
      <w:r>
        <w:rPr>
          <w:rFonts w:ascii="仿宋_GB2312" w:hAnsi="仿宋" w:eastAsia="仿宋_GB2312"/>
          <w:sz w:val="32"/>
          <w:szCs w:val="32"/>
        </w:rPr>
        <w:t>的形式进行。</w:t>
      </w:r>
      <w:r>
        <w:rPr>
          <w:rFonts w:hint="eastAsia" w:ascii="仿宋_GB2312" w:hAnsi="仿宋" w:eastAsia="仿宋_GB2312"/>
          <w:sz w:val="32"/>
          <w:szCs w:val="32"/>
        </w:rPr>
        <w:t>其中班级推荐环节，班级投票需超过班级总人数的5</w:t>
      </w:r>
      <w:r>
        <w:rPr>
          <w:rFonts w:ascii="仿宋_GB2312" w:hAnsi="仿宋" w:eastAsia="仿宋_GB2312"/>
          <w:sz w:val="32"/>
          <w:szCs w:val="32"/>
        </w:rPr>
        <w:t>0</w:t>
      </w:r>
      <w:r>
        <w:rPr>
          <w:rFonts w:hint="eastAsia" w:ascii="仿宋_GB2312" w:hAnsi="仿宋" w:eastAsia="仿宋_GB2312"/>
          <w:sz w:val="32"/>
          <w:szCs w:val="32"/>
        </w:rPr>
        <w:t>%，班级按票数进行排序，上报推荐结果。</w:t>
      </w:r>
    </w:p>
    <w:p>
      <w:pPr>
        <w:pStyle w:val="16"/>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优秀学生干部</w:t>
      </w:r>
      <w:r>
        <w:rPr>
          <w:rFonts w:hint="eastAsia" w:ascii="仿宋_GB2312" w:hAnsi="仿宋" w:eastAsia="仿宋_GB2312"/>
          <w:sz w:val="32"/>
          <w:szCs w:val="32"/>
        </w:rPr>
        <w:t>、三好学生标兵在</w:t>
      </w:r>
      <w:r>
        <w:rPr>
          <w:rFonts w:ascii="仿宋_GB2312" w:hAnsi="仿宋" w:eastAsia="仿宋_GB2312"/>
          <w:sz w:val="32"/>
          <w:szCs w:val="32"/>
        </w:rPr>
        <w:t>三好学生评选入围者中产生，</w:t>
      </w:r>
      <w:r>
        <w:rPr>
          <w:rFonts w:hint="eastAsia" w:ascii="仿宋_GB2312" w:hAnsi="仿宋" w:eastAsia="仿宋_GB2312"/>
          <w:sz w:val="32"/>
          <w:szCs w:val="32"/>
        </w:rPr>
        <w:t>由</w:t>
      </w:r>
      <w:r>
        <w:rPr>
          <w:rFonts w:ascii="仿宋_GB2312" w:hAnsi="仿宋" w:eastAsia="仿宋_GB2312"/>
          <w:sz w:val="32"/>
          <w:szCs w:val="32"/>
        </w:rPr>
        <w:t>工</w:t>
      </w:r>
      <w:r>
        <w:rPr>
          <w:rFonts w:hint="eastAsia" w:ascii="仿宋_GB2312" w:hAnsi="仿宋" w:eastAsia="仿宋_GB2312"/>
          <w:sz w:val="32"/>
          <w:szCs w:val="32"/>
        </w:rPr>
        <w:t>作组</w:t>
      </w:r>
      <w:r>
        <w:rPr>
          <w:rFonts w:ascii="仿宋_GB2312" w:hAnsi="仿宋" w:eastAsia="仿宋_GB2312"/>
          <w:sz w:val="32"/>
          <w:szCs w:val="32"/>
        </w:rPr>
        <w:t>进行合议评审</w:t>
      </w:r>
      <w:r>
        <w:rPr>
          <w:rFonts w:hint="eastAsia" w:ascii="仿宋_GB2312" w:hAnsi="仿宋" w:eastAsia="仿宋_GB2312"/>
          <w:sz w:val="32"/>
          <w:szCs w:val="32"/>
        </w:rPr>
        <w:t>。</w:t>
      </w:r>
    </w:p>
    <w:p>
      <w:pPr>
        <w:pStyle w:val="16"/>
        <w:adjustRightInd w:val="0"/>
        <w:snapToGrid w:val="0"/>
        <w:spacing w:line="560" w:lineRule="exact"/>
        <w:ind w:firstLine="640"/>
        <w:rPr>
          <w:rFonts w:ascii="楷体_GB2312" w:hAnsi="仿宋" w:eastAsia="楷体_GB2312"/>
          <w:sz w:val="32"/>
          <w:szCs w:val="32"/>
        </w:rPr>
      </w:pPr>
      <w:r>
        <w:rPr>
          <w:rFonts w:hint="eastAsia" w:ascii="楷体_GB2312" w:hAnsi="仿宋" w:eastAsia="楷体_GB2312"/>
          <w:sz w:val="32"/>
          <w:szCs w:val="32"/>
        </w:rPr>
        <w:t>（二）校长奖学金、国家奖学金</w:t>
      </w:r>
    </w:p>
    <w:p>
      <w:pPr>
        <w:pStyle w:val="16"/>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校长</w:t>
      </w:r>
      <w:r>
        <w:rPr>
          <w:rFonts w:ascii="仿宋_GB2312" w:hAnsi="仿宋" w:eastAsia="仿宋_GB2312"/>
          <w:sz w:val="32"/>
          <w:szCs w:val="32"/>
        </w:rPr>
        <w:t>奖学金的评选</w:t>
      </w:r>
      <w:r>
        <w:rPr>
          <w:rFonts w:hint="eastAsia" w:ascii="仿宋_GB2312" w:hAnsi="仿宋" w:eastAsia="仿宋_GB2312"/>
          <w:sz w:val="32"/>
          <w:szCs w:val="32"/>
        </w:rPr>
        <w:t>由符合</w:t>
      </w:r>
      <w:r>
        <w:rPr>
          <w:rFonts w:ascii="仿宋_GB2312" w:hAnsi="仿宋" w:eastAsia="仿宋_GB2312"/>
          <w:sz w:val="32"/>
          <w:szCs w:val="32"/>
        </w:rPr>
        <w:t>条件的学生提出申请</w:t>
      </w:r>
      <w:r>
        <w:rPr>
          <w:rFonts w:hint="eastAsia" w:ascii="仿宋_GB2312" w:hAnsi="仿宋" w:eastAsia="仿宋_GB2312"/>
          <w:sz w:val="32"/>
          <w:szCs w:val="32"/>
        </w:rPr>
        <w:t>，</w:t>
      </w:r>
      <w:r>
        <w:rPr>
          <w:rFonts w:ascii="仿宋_GB2312" w:hAnsi="仿宋" w:eastAsia="仿宋_GB2312"/>
          <w:sz w:val="32"/>
          <w:szCs w:val="32"/>
        </w:rPr>
        <w:t>由工作组</w:t>
      </w:r>
      <w:r>
        <w:rPr>
          <w:rFonts w:hint="eastAsia" w:ascii="仿宋_GB2312" w:hAnsi="仿宋" w:eastAsia="仿宋_GB2312"/>
          <w:sz w:val="32"/>
          <w:szCs w:val="32"/>
        </w:rPr>
        <w:t>组织</w:t>
      </w:r>
      <w:r>
        <w:rPr>
          <w:rFonts w:ascii="仿宋_GB2312" w:hAnsi="仿宋" w:eastAsia="仿宋_GB2312"/>
          <w:sz w:val="32"/>
          <w:szCs w:val="32"/>
        </w:rPr>
        <w:t>评审。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符合条件的学生向文科试验班</w:t>
      </w:r>
      <w:r>
        <w:rPr>
          <w:rFonts w:ascii="仿宋_GB2312" w:hAnsi="仿宋" w:eastAsia="仿宋_GB2312"/>
          <w:sz w:val="32"/>
          <w:szCs w:val="32"/>
        </w:rPr>
        <w:t>托管学院</w:t>
      </w:r>
      <w:r>
        <w:rPr>
          <w:rFonts w:hint="eastAsia" w:ascii="仿宋_GB2312" w:hAnsi="仿宋" w:eastAsia="仿宋_GB2312"/>
          <w:sz w:val="32"/>
          <w:szCs w:val="32"/>
        </w:rPr>
        <w:t>提出书面申请，填写《东南大学校长奖学金申请表》或《国家奖学金申请审批表》交至托管学院学办，申请破格的同学需提交申请和相关证明。</w:t>
      </w:r>
    </w:p>
    <w:p>
      <w:pPr>
        <w:adjustRightInd w:val="0"/>
        <w:snapToGrid w:val="0"/>
        <w:spacing w:line="560" w:lineRule="exact"/>
        <w:ind w:firstLine="640" w:firstLineChars="200"/>
        <w:rPr>
          <w:rFonts w:ascii="仿宋_GB2312" w:hAnsi="仿宋" w:eastAsia="仿宋_GB2312" w:cs="仿宋"/>
          <w:spacing w:val="-1"/>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申请学生在规定时间内，</w:t>
      </w:r>
      <w:r>
        <w:rPr>
          <w:rFonts w:hint="eastAsia" w:ascii="仿宋_GB2312" w:hAnsi="仿宋" w:eastAsia="仿宋_GB2312" w:cs="仿宋"/>
          <w:spacing w:val="-1"/>
          <w:sz w:val="32"/>
          <w:szCs w:val="32"/>
        </w:rPr>
        <w:t>填写《文科试验班奖学金申请表》（附件</w:t>
      </w:r>
      <w:r>
        <w:rPr>
          <w:rFonts w:ascii="仿宋_GB2312" w:hAnsi="仿宋" w:eastAsia="仿宋_GB2312" w:cs="仿宋"/>
          <w:spacing w:val="-1"/>
          <w:sz w:val="32"/>
          <w:szCs w:val="32"/>
        </w:rPr>
        <w:t>2</w:t>
      </w:r>
      <w:r>
        <w:rPr>
          <w:rFonts w:hint="eastAsia" w:ascii="仿宋_GB2312" w:hAnsi="仿宋" w:eastAsia="仿宋_GB2312" w:cs="仿宋"/>
          <w:spacing w:val="-1"/>
          <w:sz w:val="32"/>
          <w:szCs w:val="32"/>
        </w:rPr>
        <w:t>），并提交相关证明材料，逾期视作自动放弃。</w:t>
      </w:r>
    </w:p>
    <w:p>
      <w:pPr>
        <w:tabs>
          <w:tab w:val="left" w:pos="1260"/>
        </w:tabs>
        <w:spacing w:line="560" w:lineRule="exact"/>
        <w:ind w:firstLine="640" w:firstLineChars="200"/>
        <w:rPr>
          <w:rFonts w:hint="eastAsia" w:ascii="仿宋_GB2312" w:hAnsi="仿宋" w:eastAsia="仿宋_GB2312" w:cs="仿宋"/>
          <w:spacing w:val="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托管学院学办依据各类奖学金评定规则及本细则，按照《文科试验班学生奖学金评审计分标准》（附件</w:t>
      </w:r>
      <w:r>
        <w:rPr>
          <w:rFonts w:ascii="仿宋_GB2312" w:hAnsi="仿宋" w:eastAsia="仿宋_GB2312"/>
          <w:sz w:val="32"/>
          <w:szCs w:val="32"/>
        </w:rPr>
        <w:t>1）</w:t>
      </w:r>
      <w:r>
        <w:rPr>
          <w:rFonts w:hint="eastAsia" w:ascii="仿宋_GB2312" w:hAnsi="仿宋" w:eastAsia="仿宋_GB2312"/>
          <w:sz w:val="32"/>
          <w:szCs w:val="32"/>
        </w:rPr>
        <w:t>，</w:t>
      </w:r>
      <w:r>
        <w:rPr>
          <w:rFonts w:hint="eastAsia" w:ascii="仿宋_GB2312" w:hAnsi="仿宋" w:eastAsia="仿宋_GB2312" w:cs="仿宋"/>
          <w:spacing w:val="2"/>
          <w:sz w:val="32"/>
          <w:szCs w:val="32"/>
        </w:rPr>
        <w:t>加权计算后得出申请材料总分，根据总分的高低排序。具体计算方法为：总分=学习成绩×0.95+</w:t>
      </w:r>
      <w:r>
        <w:rPr>
          <w:rFonts w:hint="eastAsia" w:ascii="仿宋_GB2312" w:hAnsi="仿宋" w:eastAsia="仿宋_GB2312" w:cs="仿宋"/>
          <w:color w:val="auto"/>
          <w:spacing w:val="-4"/>
          <w:sz w:val="32"/>
          <w:szCs w:val="32"/>
        </w:rPr>
        <w:t>社会</w:t>
      </w:r>
      <w:r>
        <w:rPr>
          <w:rFonts w:hint="eastAsia" w:ascii="仿宋_GB2312" w:hAnsi="仿宋" w:eastAsia="仿宋_GB2312" w:cs="仿宋"/>
          <w:color w:val="auto"/>
          <w:spacing w:val="-4"/>
          <w:sz w:val="32"/>
          <w:szCs w:val="32"/>
          <w:lang w:val="en-US" w:eastAsia="zh-CN"/>
        </w:rPr>
        <w:t>活动及</w:t>
      </w:r>
      <w:r>
        <w:rPr>
          <w:rFonts w:hint="eastAsia" w:ascii="仿宋_GB2312" w:hAnsi="仿宋" w:eastAsia="仿宋_GB2312" w:cs="仿宋"/>
          <w:color w:val="auto"/>
          <w:spacing w:val="-4"/>
          <w:sz w:val="32"/>
          <w:szCs w:val="32"/>
        </w:rPr>
        <w:t>学生工作类</w:t>
      </w:r>
      <w:r>
        <w:rPr>
          <w:rFonts w:hint="eastAsia" w:ascii="仿宋_GB2312" w:hAnsi="仿宋" w:eastAsia="仿宋_GB2312" w:cs="仿宋"/>
          <w:spacing w:val="2"/>
          <w:sz w:val="32"/>
          <w:szCs w:val="32"/>
        </w:rPr>
        <w:t>成绩×0.05+学科竞赛及科研活动类成绩，其中学科竞赛及科研活动类成绩由工作组根据材料或答辩情况给与不多于5分的加分。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根据候选学生的综合成绩确定获奖名单，公示后上报。</w:t>
      </w:r>
    </w:p>
    <w:p>
      <w:pPr>
        <w:pStyle w:val="16"/>
        <w:adjustRightInd w:val="0"/>
        <w:snapToGrid w:val="0"/>
        <w:spacing w:line="560" w:lineRule="exact"/>
        <w:ind w:firstLine="640"/>
        <w:rPr>
          <w:rFonts w:ascii="楷体_GB2312" w:hAnsi="仿宋" w:eastAsia="楷体_GB2312"/>
          <w:sz w:val="32"/>
          <w:szCs w:val="32"/>
        </w:rPr>
      </w:pPr>
      <w:r>
        <w:rPr>
          <w:rFonts w:hint="eastAsia" w:ascii="楷体_GB2312" w:hAnsi="仿宋" w:eastAsia="楷体_GB2312"/>
          <w:sz w:val="32"/>
          <w:szCs w:val="32"/>
        </w:rPr>
        <w:t>（四）国家励志奖学金</w:t>
      </w:r>
    </w:p>
    <w:p>
      <w:pPr>
        <w:adjustRightInd w:val="0"/>
        <w:snapToGrid w:val="0"/>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国家励志奖学金</w:t>
      </w:r>
      <w:r>
        <w:rPr>
          <w:rFonts w:ascii="仿宋_GB2312" w:hAnsi="仿宋" w:eastAsia="仿宋_GB2312"/>
          <w:sz w:val="32"/>
          <w:szCs w:val="32"/>
        </w:rPr>
        <w:t>的评选</w:t>
      </w:r>
      <w:r>
        <w:rPr>
          <w:rFonts w:hint="eastAsia" w:ascii="仿宋_GB2312" w:hAnsi="仿宋" w:eastAsia="仿宋_GB2312"/>
          <w:sz w:val="32"/>
          <w:szCs w:val="32"/>
        </w:rPr>
        <w:t>由符合</w:t>
      </w:r>
      <w:r>
        <w:rPr>
          <w:rFonts w:ascii="仿宋_GB2312" w:hAnsi="仿宋" w:eastAsia="仿宋_GB2312"/>
          <w:sz w:val="32"/>
          <w:szCs w:val="32"/>
        </w:rPr>
        <w:t>条件的学生提出申请</w:t>
      </w:r>
      <w:r>
        <w:rPr>
          <w:rFonts w:hint="eastAsia" w:ascii="仿宋_GB2312" w:hAnsi="仿宋" w:eastAsia="仿宋_GB2312"/>
          <w:sz w:val="32"/>
          <w:szCs w:val="32"/>
        </w:rPr>
        <w:t>，评选工作组按家庭经济</w:t>
      </w:r>
      <w:r>
        <w:rPr>
          <w:rFonts w:ascii="仿宋_GB2312" w:hAnsi="仿宋" w:eastAsia="仿宋_GB2312"/>
          <w:sz w:val="32"/>
          <w:szCs w:val="32"/>
        </w:rPr>
        <w:t>困难</w:t>
      </w:r>
      <w:r>
        <w:rPr>
          <w:rFonts w:hint="eastAsia" w:ascii="仿宋_GB2312" w:hAnsi="仿宋" w:eastAsia="仿宋_GB2312"/>
          <w:sz w:val="32"/>
          <w:szCs w:val="32"/>
        </w:rPr>
        <w:t>学生</w:t>
      </w:r>
      <w:r>
        <w:rPr>
          <w:rFonts w:ascii="仿宋_GB2312" w:hAnsi="仿宋" w:eastAsia="仿宋_GB2312"/>
          <w:sz w:val="32"/>
          <w:szCs w:val="32"/>
        </w:rPr>
        <w:t>人</w:t>
      </w:r>
      <w:r>
        <w:rPr>
          <w:rFonts w:hint="eastAsia" w:ascii="仿宋_GB2312" w:hAnsi="仿宋" w:eastAsia="仿宋_GB2312"/>
          <w:sz w:val="32"/>
          <w:szCs w:val="32"/>
        </w:rPr>
        <w:t>数比例分配文科</w:t>
      </w:r>
      <w:r>
        <w:rPr>
          <w:rFonts w:ascii="仿宋_GB2312" w:hAnsi="仿宋" w:eastAsia="仿宋_GB2312"/>
          <w:sz w:val="32"/>
          <w:szCs w:val="32"/>
        </w:rPr>
        <w:t>试验班涉及</w:t>
      </w:r>
      <w:r>
        <w:rPr>
          <w:rFonts w:hint="eastAsia" w:ascii="仿宋_GB2312" w:hAnsi="仿宋" w:eastAsia="仿宋_GB2312"/>
          <w:sz w:val="32"/>
          <w:szCs w:val="32"/>
        </w:rPr>
        <w:t>各学院的</w:t>
      </w:r>
      <w:r>
        <w:rPr>
          <w:rFonts w:ascii="仿宋_GB2312" w:hAnsi="仿宋" w:eastAsia="仿宋_GB2312"/>
          <w:sz w:val="32"/>
          <w:szCs w:val="32"/>
        </w:rPr>
        <w:t>名额</w:t>
      </w:r>
      <w:r>
        <w:rPr>
          <w:rFonts w:hint="eastAsia" w:ascii="仿宋_GB2312" w:hAnsi="仿宋" w:eastAsia="仿宋_GB2312"/>
          <w:sz w:val="32"/>
          <w:szCs w:val="32"/>
        </w:rPr>
        <w:t>，</w:t>
      </w:r>
      <w:r>
        <w:rPr>
          <w:rFonts w:ascii="仿宋_GB2312" w:hAnsi="仿宋" w:eastAsia="仿宋_GB2312"/>
          <w:sz w:val="32"/>
          <w:szCs w:val="32"/>
        </w:rPr>
        <w:t>由</w:t>
      </w:r>
      <w:r>
        <w:rPr>
          <w:rFonts w:hint="eastAsia" w:ascii="仿宋_GB2312" w:hAnsi="仿宋" w:eastAsia="仿宋_GB2312"/>
          <w:sz w:val="32"/>
          <w:szCs w:val="32"/>
        </w:rPr>
        <w:t>评选</w:t>
      </w:r>
      <w:r>
        <w:rPr>
          <w:rFonts w:ascii="仿宋_GB2312" w:hAnsi="仿宋" w:eastAsia="仿宋_GB2312"/>
          <w:sz w:val="32"/>
          <w:szCs w:val="32"/>
        </w:rPr>
        <w:t>工作组</w:t>
      </w:r>
      <w:r>
        <w:rPr>
          <w:rFonts w:hint="eastAsia" w:ascii="仿宋_GB2312" w:hAnsi="仿宋" w:eastAsia="仿宋_GB2312"/>
          <w:sz w:val="32"/>
          <w:szCs w:val="32"/>
        </w:rPr>
        <w:t>组织评审。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符合条件的同学提出申请，填写《东南大学国家励志奖学金申请表》交至辅导员处。</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.工作</w:t>
      </w:r>
      <w:r>
        <w:rPr>
          <w:rFonts w:hint="eastAsia" w:ascii="仿宋_GB2312" w:hAnsi="仿宋" w:eastAsia="仿宋_GB2312"/>
          <w:sz w:val="32"/>
          <w:szCs w:val="32"/>
        </w:rPr>
        <w:t>组进行资格审查，确定候选人名单。</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工作组组织</w:t>
      </w:r>
      <w:r>
        <w:rPr>
          <w:rFonts w:ascii="仿宋_GB2312" w:hAnsi="仿宋" w:eastAsia="仿宋_GB2312"/>
          <w:sz w:val="32"/>
          <w:szCs w:val="32"/>
        </w:rPr>
        <w:t>开展评审</w:t>
      </w:r>
      <w:r>
        <w:rPr>
          <w:rFonts w:hint="eastAsia" w:ascii="仿宋_GB2312" w:hAnsi="仿宋" w:eastAsia="仿宋_GB2312"/>
          <w:sz w:val="32"/>
          <w:szCs w:val="32"/>
        </w:rPr>
        <w:t>，评审</w:t>
      </w:r>
      <w:r>
        <w:rPr>
          <w:rFonts w:ascii="仿宋_GB2312" w:hAnsi="仿宋" w:eastAsia="仿宋_GB2312"/>
          <w:sz w:val="32"/>
          <w:szCs w:val="32"/>
        </w:rPr>
        <w:t>时</w:t>
      </w:r>
      <w:r>
        <w:rPr>
          <w:rFonts w:hint="eastAsia" w:ascii="仿宋_GB2312" w:hAnsi="仿宋" w:eastAsia="仿宋_GB2312"/>
          <w:sz w:val="32"/>
          <w:szCs w:val="32"/>
        </w:rPr>
        <w:t>须</w:t>
      </w:r>
      <w:r>
        <w:rPr>
          <w:rFonts w:ascii="仿宋_GB2312" w:hAnsi="仿宋" w:eastAsia="仿宋_GB2312"/>
          <w:sz w:val="32"/>
          <w:szCs w:val="32"/>
        </w:rPr>
        <w:t>征求文科试验班大一时</w:t>
      </w:r>
      <w:r>
        <w:rPr>
          <w:rFonts w:hint="eastAsia" w:ascii="仿宋_GB2312" w:hAnsi="仿宋" w:eastAsia="仿宋_GB2312"/>
          <w:sz w:val="32"/>
          <w:szCs w:val="32"/>
        </w:rPr>
        <w:t>年级长、所在班级</w:t>
      </w:r>
      <w:r>
        <w:rPr>
          <w:rFonts w:ascii="仿宋_GB2312" w:hAnsi="仿宋" w:eastAsia="仿宋_GB2312"/>
          <w:sz w:val="32"/>
          <w:szCs w:val="32"/>
        </w:rPr>
        <w:t>班长及生活委员的意见</w:t>
      </w:r>
      <w:r>
        <w:rPr>
          <w:rFonts w:hint="eastAsia"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获得唐仲英德育奖学金等大额奖学金的同学，原则上不兼得国家励志奖学金。</w:t>
      </w:r>
    </w:p>
    <w:p>
      <w:pPr>
        <w:pStyle w:val="16"/>
        <w:adjustRightInd w:val="0"/>
        <w:snapToGrid w:val="0"/>
        <w:spacing w:line="560" w:lineRule="exact"/>
        <w:ind w:firstLine="640"/>
        <w:rPr>
          <w:rFonts w:ascii="楷体_GB2312" w:hAnsi="仿宋" w:eastAsia="楷体_GB2312"/>
          <w:sz w:val="32"/>
          <w:szCs w:val="32"/>
        </w:rPr>
      </w:pPr>
      <w:r>
        <w:rPr>
          <w:rFonts w:hint="eastAsia" w:ascii="楷体_GB2312" w:hAnsi="仿宋" w:eastAsia="楷体_GB2312"/>
          <w:sz w:val="32"/>
          <w:szCs w:val="32"/>
        </w:rPr>
        <w:t>（五</w:t>
      </w:r>
      <w:r>
        <w:rPr>
          <w:rFonts w:ascii="楷体_GB2312" w:hAnsi="仿宋" w:eastAsia="楷体_GB2312"/>
          <w:sz w:val="32"/>
          <w:szCs w:val="32"/>
        </w:rPr>
        <w:t>）</w:t>
      </w:r>
      <w:r>
        <w:rPr>
          <w:rFonts w:hint="eastAsia" w:ascii="楷体_GB2312" w:hAnsi="仿宋" w:eastAsia="楷体_GB2312"/>
          <w:sz w:val="32"/>
          <w:szCs w:val="32"/>
        </w:rPr>
        <w:t>其他</w:t>
      </w:r>
      <w:r>
        <w:rPr>
          <w:rFonts w:ascii="楷体_GB2312" w:hAnsi="仿宋" w:eastAsia="楷体_GB2312"/>
          <w:sz w:val="32"/>
          <w:szCs w:val="32"/>
        </w:rPr>
        <w:t>奖助学金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国家助学金</w:t>
      </w:r>
      <w:r>
        <w:rPr>
          <w:rFonts w:ascii="仿宋_GB2312" w:hAnsi="仿宋" w:eastAsia="仿宋_GB2312"/>
          <w:sz w:val="32"/>
          <w:szCs w:val="32"/>
        </w:rPr>
        <w:t>按照经过认定的</w:t>
      </w:r>
      <w:r>
        <w:rPr>
          <w:rFonts w:hint="eastAsia" w:ascii="仿宋_GB2312" w:hAnsi="仿宋" w:eastAsia="仿宋_GB2312"/>
          <w:sz w:val="32"/>
          <w:szCs w:val="32"/>
        </w:rPr>
        <w:t>家庭经济</w:t>
      </w:r>
      <w:r>
        <w:rPr>
          <w:rFonts w:ascii="仿宋_GB2312" w:hAnsi="仿宋" w:eastAsia="仿宋_GB2312"/>
          <w:sz w:val="32"/>
          <w:szCs w:val="32"/>
        </w:rPr>
        <w:t>困难学生比例分配到各学院，由工作组根据实际情况组织评审。</w:t>
      </w:r>
    </w:p>
    <w:p>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2.定向到具体学院的</w:t>
      </w:r>
      <w:r>
        <w:rPr>
          <w:rFonts w:hint="eastAsia" w:ascii="仿宋_GB2312" w:hAnsi="仿宋" w:eastAsia="仿宋_GB2312"/>
          <w:sz w:val="32"/>
          <w:szCs w:val="32"/>
        </w:rPr>
        <w:t>奖助</w:t>
      </w:r>
      <w:r>
        <w:rPr>
          <w:rFonts w:ascii="仿宋_GB2312" w:hAnsi="仿宋" w:eastAsia="仿宋_GB2312"/>
          <w:sz w:val="32"/>
          <w:szCs w:val="32"/>
        </w:rPr>
        <w:t>学金，由学生所在学院组织评审，原</w:t>
      </w:r>
      <w:r>
        <w:rPr>
          <w:rFonts w:hint="eastAsia" w:ascii="仿宋_GB2312" w:hAnsi="仿宋" w:eastAsia="仿宋_GB2312"/>
          <w:sz w:val="32"/>
          <w:szCs w:val="32"/>
        </w:rPr>
        <w:t>文科试验班</w:t>
      </w:r>
      <w:r>
        <w:rPr>
          <w:rFonts w:ascii="仿宋_GB2312" w:hAnsi="仿宋" w:eastAsia="仿宋_GB2312"/>
          <w:sz w:val="32"/>
          <w:szCs w:val="32"/>
        </w:rPr>
        <w:t>辅导员可以提供学生表现的相关意见。</w:t>
      </w:r>
    </w:p>
    <w:p>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3.未</w:t>
      </w:r>
      <w:r>
        <w:rPr>
          <w:rFonts w:hint="eastAsia" w:ascii="仿宋_GB2312" w:hAnsi="仿宋" w:eastAsia="仿宋_GB2312"/>
          <w:sz w:val="32"/>
          <w:szCs w:val="32"/>
        </w:rPr>
        <w:t>定向</w:t>
      </w:r>
      <w:r>
        <w:rPr>
          <w:rFonts w:ascii="仿宋_GB2312" w:hAnsi="仿宋" w:eastAsia="仿宋_GB2312"/>
          <w:sz w:val="32"/>
          <w:szCs w:val="32"/>
        </w:rPr>
        <w:t>到具体学院的奖助学金，</w:t>
      </w:r>
      <w:r>
        <w:rPr>
          <w:rFonts w:hint="eastAsia" w:ascii="仿宋_GB2312" w:hAnsi="仿宋" w:eastAsia="仿宋_GB2312"/>
          <w:sz w:val="32"/>
          <w:szCs w:val="32"/>
        </w:rPr>
        <w:t>由</w:t>
      </w:r>
      <w:r>
        <w:rPr>
          <w:rFonts w:ascii="仿宋_GB2312" w:hAnsi="仿宋" w:eastAsia="仿宋_GB2312"/>
          <w:sz w:val="32"/>
          <w:szCs w:val="32"/>
        </w:rPr>
        <w:t>工作组组织评审。一般</w:t>
      </w:r>
      <w:r>
        <w:rPr>
          <w:rFonts w:hint="eastAsia" w:ascii="仿宋_GB2312" w:hAnsi="仿宋" w:eastAsia="仿宋_GB2312"/>
          <w:sz w:val="32"/>
          <w:szCs w:val="32"/>
        </w:rPr>
        <w:t>由</w:t>
      </w:r>
      <w:r>
        <w:rPr>
          <w:rFonts w:ascii="仿宋_GB2312" w:hAnsi="仿宋" w:eastAsia="仿宋_GB2312"/>
          <w:sz w:val="32"/>
          <w:szCs w:val="32"/>
        </w:rPr>
        <w:t>学生根据奖助学金具体要求提出申请，</w:t>
      </w:r>
      <w:r>
        <w:rPr>
          <w:rFonts w:hint="eastAsia" w:ascii="仿宋_GB2312" w:hAnsi="仿宋" w:eastAsia="仿宋_GB2312"/>
          <w:sz w:val="32"/>
          <w:szCs w:val="32"/>
        </w:rPr>
        <w:t>工作</w:t>
      </w:r>
      <w:r>
        <w:rPr>
          <w:rFonts w:ascii="仿宋_GB2312" w:hAnsi="仿宋" w:eastAsia="仿宋_GB2312"/>
          <w:sz w:val="32"/>
          <w:szCs w:val="32"/>
        </w:rPr>
        <w:t>组组织评审，</w:t>
      </w:r>
      <w:r>
        <w:rPr>
          <w:rFonts w:hint="eastAsia" w:ascii="仿宋_GB2312" w:hAnsi="仿宋" w:eastAsia="仿宋_GB2312"/>
          <w:sz w:val="32"/>
          <w:szCs w:val="32"/>
        </w:rPr>
        <w:t>根据候选学生的综合成绩确定名单，</w:t>
      </w:r>
      <w:r>
        <w:rPr>
          <w:rFonts w:ascii="仿宋_GB2312" w:hAnsi="仿宋" w:eastAsia="仿宋_GB2312"/>
          <w:sz w:val="32"/>
          <w:szCs w:val="32"/>
        </w:rPr>
        <w:t>报</w:t>
      </w:r>
      <w:r>
        <w:rPr>
          <w:rFonts w:hint="eastAsia" w:ascii="仿宋_GB2312" w:hAnsi="仿宋" w:eastAsia="仿宋_GB2312"/>
          <w:sz w:val="32"/>
          <w:szCs w:val="32"/>
        </w:rPr>
        <w:t>学校</w:t>
      </w:r>
      <w:r>
        <w:rPr>
          <w:rFonts w:ascii="仿宋_GB2312" w:hAnsi="仿宋" w:eastAsia="仿宋_GB2312"/>
          <w:sz w:val="32"/>
          <w:szCs w:val="32"/>
        </w:rPr>
        <w:t>对应单位。</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、附录</w:t>
      </w:r>
    </w:p>
    <w:p>
      <w:pPr>
        <w:adjustRightInd w:val="0"/>
        <w:snapToGrid w:val="0"/>
        <w:spacing w:line="560" w:lineRule="exact"/>
        <w:ind w:firstLine="632" w:firstLineChars="200"/>
        <w:rPr>
          <w:rFonts w:ascii="仿宋_GB2312" w:hAnsi="仿宋" w:eastAsia="仿宋_GB2312"/>
          <w:sz w:val="32"/>
          <w:szCs w:val="32"/>
        </w:rPr>
      </w:pPr>
      <w:r>
        <w:rPr>
          <w:rFonts w:hint="eastAsia" w:ascii="仿宋_GB2312" w:hAnsi="仿宋" w:eastAsia="仿宋_GB2312" w:cs="仿宋"/>
          <w:spacing w:val="-2"/>
          <w:sz w:val="32"/>
          <w:szCs w:val="32"/>
        </w:rPr>
        <w:t>文科试验班托管学院党委受理评奖评优工作的申诉事宜。学生应在公示期内，以书面的形式提交申诉申请。学院党委核查后，在3个工作日内，以口头或书面的形式进行答复。</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本条例未尽事宜</w:t>
      </w:r>
      <w:r>
        <w:rPr>
          <w:rFonts w:ascii="仿宋_GB2312" w:hAnsi="仿宋" w:eastAsia="仿宋_GB2312"/>
          <w:sz w:val="32"/>
          <w:szCs w:val="32"/>
        </w:rPr>
        <w:t>，以学校公布的相关文件为准</w:t>
      </w:r>
      <w:r>
        <w:rPr>
          <w:rFonts w:hint="eastAsia" w:ascii="仿宋_GB2312" w:hAnsi="仿宋" w:eastAsia="仿宋_GB2312"/>
          <w:sz w:val="32"/>
          <w:szCs w:val="32"/>
        </w:rPr>
        <w:t>。如</w:t>
      </w:r>
      <w:r>
        <w:rPr>
          <w:rFonts w:ascii="仿宋_GB2312" w:hAnsi="仿宋" w:eastAsia="仿宋_GB2312"/>
          <w:sz w:val="32"/>
          <w:szCs w:val="32"/>
        </w:rPr>
        <w:t>学校政策发生变化，将同步进行调整，并</w:t>
      </w:r>
      <w:r>
        <w:rPr>
          <w:rFonts w:hint="eastAsia" w:ascii="仿宋_GB2312" w:hAnsi="仿宋" w:eastAsia="仿宋_GB2312"/>
          <w:sz w:val="32"/>
          <w:szCs w:val="32"/>
        </w:rPr>
        <w:t>及时</w:t>
      </w:r>
      <w:r>
        <w:rPr>
          <w:rFonts w:ascii="仿宋_GB2312" w:hAnsi="仿宋" w:eastAsia="仿宋_GB2312"/>
          <w:sz w:val="32"/>
          <w:szCs w:val="32"/>
        </w:rPr>
        <w:t>公布。</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本条例</w:t>
      </w:r>
      <w:r>
        <w:rPr>
          <w:rFonts w:ascii="仿宋_GB2312" w:hAnsi="仿宋" w:eastAsia="仿宋_GB2312"/>
          <w:sz w:val="32"/>
          <w:szCs w:val="32"/>
        </w:rPr>
        <w:t>由</w:t>
      </w:r>
      <w:r>
        <w:rPr>
          <w:rFonts w:hint="eastAsia" w:ascii="仿宋_GB2312" w:hAnsi="仿宋" w:eastAsia="仿宋_GB2312" w:cs="仿宋"/>
          <w:spacing w:val="-2"/>
          <w:sz w:val="32"/>
          <w:szCs w:val="32"/>
        </w:rPr>
        <w:t>文科试验班托管学院</w:t>
      </w:r>
      <w:r>
        <w:rPr>
          <w:rFonts w:ascii="仿宋_GB2312" w:hAnsi="仿宋" w:eastAsia="仿宋_GB2312"/>
          <w:sz w:val="32"/>
          <w:szCs w:val="32"/>
        </w:rPr>
        <w:t>负责解释。</w:t>
      </w:r>
    </w:p>
    <w:p>
      <w:pPr>
        <w:wordWrap w:val="0"/>
        <w:adjustRightInd w:val="0"/>
        <w:snapToGrid w:val="0"/>
        <w:spacing w:line="560" w:lineRule="exact"/>
        <w:ind w:firstLine="643" w:firstLineChars="200"/>
        <w:jc w:val="right"/>
        <w:rPr>
          <w:rFonts w:ascii="仿宋_GB2312" w:hAnsi="仿宋" w:eastAsia="仿宋_GB2312"/>
          <w:b/>
          <w:sz w:val="32"/>
          <w:szCs w:val="32"/>
        </w:rPr>
      </w:pPr>
    </w:p>
    <w:p>
      <w:pPr>
        <w:adjustRightInd w:val="0"/>
        <w:snapToGrid w:val="0"/>
        <w:spacing w:line="560" w:lineRule="exact"/>
        <w:ind w:firstLine="632" w:firstLineChars="200"/>
        <w:jc w:val="right"/>
        <w:rPr>
          <w:rFonts w:ascii="仿宋_GB2312" w:hAnsi="仿宋" w:eastAsia="仿宋_GB2312" w:cs="仿宋"/>
          <w:spacing w:val="-2"/>
          <w:sz w:val="32"/>
          <w:szCs w:val="32"/>
        </w:rPr>
      </w:pPr>
      <w:r>
        <w:rPr>
          <w:rFonts w:hint="eastAsia" w:ascii="仿宋_GB2312" w:hAnsi="仿宋" w:eastAsia="仿宋_GB2312" w:cs="仿宋"/>
          <w:spacing w:val="-2"/>
          <w:sz w:val="32"/>
          <w:szCs w:val="32"/>
        </w:rPr>
        <w:t>文科试验班评奖评优工作组</w:t>
      </w:r>
    </w:p>
    <w:p>
      <w:pPr>
        <w:adjustRightInd w:val="0"/>
        <w:snapToGrid w:val="0"/>
        <w:spacing w:line="560" w:lineRule="exact"/>
        <w:ind w:firstLine="632" w:firstLineChars="200"/>
        <w:jc w:val="right"/>
        <w:rPr>
          <w:rFonts w:ascii="仿宋_GB2312" w:hAnsi="仿宋" w:eastAsia="仿宋_GB2312" w:cs="仿宋"/>
          <w:spacing w:val="-2"/>
          <w:sz w:val="32"/>
          <w:szCs w:val="32"/>
        </w:rPr>
      </w:pPr>
      <w:r>
        <w:rPr>
          <w:rFonts w:hint="eastAsia" w:ascii="仿宋_GB2312" w:hAnsi="仿宋" w:eastAsia="仿宋_GB2312" w:cs="仿宋"/>
          <w:spacing w:val="-2"/>
          <w:sz w:val="32"/>
          <w:szCs w:val="32"/>
        </w:rPr>
        <w:t>（人文学院代章）</w:t>
      </w:r>
    </w:p>
    <w:p>
      <w:pPr>
        <w:adjustRightInd w:val="0"/>
        <w:snapToGrid w:val="0"/>
        <w:spacing w:line="560" w:lineRule="exact"/>
        <w:ind w:firstLine="632" w:firstLineChars="200"/>
        <w:jc w:val="right"/>
        <w:rPr>
          <w:rFonts w:ascii="仿宋_GB2312" w:hAnsi="仿宋" w:eastAsia="仿宋_GB2312" w:cs="仿宋"/>
          <w:spacing w:val="-2"/>
          <w:sz w:val="32"/>
          <w:szCs w:val="32"/>
        </w:rPr>
      </w:pPr>
      <w:r>
        <w:rPr>
          <w:rFonts w:hint="eastAsia" w:ascii="仿宋_GB2312" w:hAnsi="仿宋" w:eastAsia="仿宋_GB2312" w:cs="仿宋"/>
          <w:spacing w:val="-2"/>
          <w:sz w:val="32"/>
          <w:szCs w:val="32"/>
        </w:rPr>
        <w:t>202</w:t>
      </w:r>
      <w:r>
        <w:rPr>
          <w:rFonts w:ascii="仿宋_GB2312" w:hAnsi="仿宋" w:eastAsia="仿宋_GB2312" w:cs="仿宋"/>
          <w:spacing w:val="-2"/>
          <w:sz w:val="32"/>
          <w:szCs w:val="32"/>
        </w:rPr>
        <w:t>3</w:t>
      </w:r>
      <w:r>
        <w:rPr>
          <w:rFonts w:hint="eastAsia" w:ascii="仿宋_GB2312" w:hAnsi="仿宋" w:eastAsia="仿宋_GB2312" w:cs="仿宋"/>
          <w:spacing w:val="-2"/>
          <w:sz w:val="32"/>
          <w:szCs w:val="32"/>
        </w:rPr>
        <w:t>年9月</w:t>
      </w:r>
      <w:r>
        <w:rPr>
          <w:rFonts w:ascii="仿宋_GB2312" w:hAnsi="仿宋" w:eastAsia="仿宋_GB2312" w:cs="仿宋"/>
          <w:spacing w:val="-2"/>
          <w:sz w:val="32"/>
          <w:szCs w:val="32"/>
        </w:rPr>
        <w:t>22</w:t>
      </w:r>
      <w:r>
        <w:rPr>
          <w:rFonts w:hint="eastAsia" w:ascii="仿宋_GB2312" w:hAnsi="仿宋" w:eastAsia="仿宋_GB2312" w:cs="仿宋"/>
          <w:spacing w:val="-2"/>
          <w:sz w:val="32"/>
          <w:szCs w:val="32"/>
        </w:rPr>
        <w:t>日</w:t>
      </w:r>
    </w:p>
    <w:p>
      <w:pPr>
        <w:widowControl/>
        <w:jc w:val="left"/>
        <w:rPr>
          <w:rFonts w:ascii="仿宋_GB2312" w:hAnsi="仿宋" w:eastAsia="仿宋_GB2312" w:cs="仿宋"/>
          <w:spacing w:val="-2"/>
          <w:sz w:val="32"/>
          <w:szCs w:val="32"/>
        </w:rPr>
      </w:pPr>
      <w:r>
        <w:rPr>
          <w:rFonts w:ascii="仿宋_GB2312" w:hAnsi="仿宋" w:eastAsia="仿宋_GB2312" w:cs="仿宋"/>
          <w:spacing w:val="-2"/>
          <w:sz w:val="32"/>
          <w:szCs w:val="32"/>
        </w:rPr>
        <w:br w:type="page"/>
      </w:r>
    </w:p>
    <w:p>
      <w:pPr>
        <w:autoSpaceDE w:val="0"/>
        <w:adjustRightInd w:val="0"/>
        <w:snapToGrid w:val="0"/>
        <w:spacing w:line="560" w:lineRule="exact"/>
        <w:jc w:val="left"/>
        <w:textAlignment w:val="baseline"/>
        <w:outlineLvl w:val="0"/>
        <w:rPr>
          <w:rFonts w:ascii="黑体" w:hAnsi="黑体" w:eastAsia="黑体" w:cs="黑体"/>
          <w:b/>
          <w:snapToGrid w:val="0"/>
          <w:sz w:val="30"/>
          <w:szCs w:val="30"/>
        </w:rPr>
      </w:pPr>
      <w:r>
        <w:rPr>
          <w:rFonts w:hint="eastAsia" w:ascii="黑体" w:hAnsi="黑体" w:eastAsia="黑体" w:cs="黑体"/>
          <w:b/>
          <w:snapToGrid w:val="0"/>
          <w:sz w:val="30"/>
          <w:szCs w:val="30"/>
        </w:rPr>
        <w:t>附件</w:t>
      </w:r>
      <w:r>
        <w:rPr>
          <w:rFonts w:ascii="黑体" w:hAnsi="黑体" w:eastAsia="黑体" w:cs="黑体"/>
          <w:b/>
          <w:snapToGrid w:val="0"/>
          <w:sz w:val="30"/>
          <w:szCs w:val="30"/>
        </w:rPr>
        <w:t>1</w:t>
      </w:r>
    </w:p>
    <w:p>
      <w:pPr>
        <w:autoSpaceDE w:val="0"/>
        <w:adjustRightInd w:val="0"/>
        <w:snapToGrid w:val="0"/>
        <w:spacing w:before="161" w:line="560" w:lineRule="exact"/>
        <w:jc w:val="center"/>
        <w:textAlignment w:val="baseline"/>
        <w:rPr>
          <w:rFonts w:ascii="方正小标宋简体" w:hAnsi="方正小标宋简体" w:eastAsia="方正小标宋简体" w:cs="方正小标宋简体"/>
          <w:snapToGrid w:val="0"/>
          <w:spacing w:val="18"/>
          <w:sz w:val="44"/>
          <w:szCs w:val="44"/>
        </w:rPr>
      </w:pPr>
      <w:r>
        <w:rPr>
          <w:rFonts w:hint="eastAsia" w:ascii="方正小标宋简体" w:hAnsi="方正小标宋简体" w:eastAsia="方正小标宋简体" w:cs="方正小标宋简体"/>
          <w:snapToGrid w:val="0"/>
          <w:spacing w:val="18"/>
          <w:sz w:val="44"/>
          <w:szCs w:val="44"/>
        </w:rPr>
        <w:t>文科试验班奖学金评审计分标准</w:t>
      </w:r>
    </w:p>
    <w:p>
      <w:pPr>
        <w:autoSpaceDE w:val="0"/>
        <w:adjustRightInd w:val="0"/>
        <w:snapToGrid w:val="0"/>
        <w:spacing w:before="161" w:line="560" w:lineRule="exact"/>
        <w:jc w:val="center"/>
        <w:textAlignment w:val="baseline"/>
        <w:rPr>
          <w:rFonts w:ascii="方正小标宋简体" w:hAnsi="方正小标宋简体" w:eastAsia="方正小标宋简体" w:cs="方正小标宋简体"/>
          <w:snapToGrid w:val="0"/>
          <w:spacing w:val="18"/>
          <w:sz w:val="44"/>
          <w:szCs w:val="44"/>
        </w:rPr>
      </w:pPr>
    </w:p>
    <w:p>
      <w:pPr>
        <w:widowControl/>
        <w:numPr>
          <w:ilvl w:val="0"/>
          <w:numId w:val="1"/>
        </w:numPr>
        <w:kinsoku w:val="0"/>
        <w:autoSpaceDE w:val="0"/>
        <w:autoSpaceDN w:val="0"/>
        <w:adjustRightInd w:val="0"/>
        <w:snapToGrid w:val="0"/>
        <w:spacing w:line="560" w:lineRule="exact"/>
        <w:jc w:val="left"/>
        <w:textAlignment w:val="baseline"/>
        <w:outlineLvl w:val="0"/>
        <w:rPr>
          <w:rFonts w:ascii="黑体" w:hAnsi="黑体" w:eastAsia="黑体" w:cs="仿宋"/>
          <w:snapToGrid w:val="0"/>
          <w:spacing w:val="-1"/>
          <w:position w:val="1"/>
          <w:sz w:val="32"/>
          <w:szCs w:val="32"/>
        </w:rPr>
      </w:pPr>
      <w:r>
        <w:rPr>
          <w:rFonts w:hint="eastAsia" w:ascii="黑体" w:hAnsi="黑体" w:eastAsia="黑体" w:cs="仿宋"/>
          <w:snapToGrid w:val="0"/>
          <w:spacing w:val="-1"/>
          <w:position w:val="1"/>
          <w:sz w:val="32"/>
          <w:szCs w:val="32"/>
        </w:rPr>
        <w:t>学习成绩标准</w:t>
      </w:r>
    </w:p>
    <w:p>
      <w:pPr>
        <w:tabs>
          <w:tab w:val="left" w:pos="0"/>
        </w:tabs>
        <w:autoSpaceDE w:val="0"/>
        <w:adjustRightInd w:val="0"/>
        <w:snapToGrid w:val="0"/>
        <w:spacing w:line="560" w:lineRule="exact"/>
        <w:ind w:firstLine="628" w:firstLineChars="200"/>
        <w:jc w:val="left"/>
        <w:textAlignment w:val="baseline"/>
        <w:rPr>
          <w:rFonts w:ascii="仿宋_GB2312" w:hAnsi="仿宋" w:eastAsia="仿宋_GB2312" w:cs="仿宋"/>
          <w:snapToGrid w:val="0"/>
          <w:sz w:val="32"/>
          <w:szCs w:val="32"/>
        </w:rPr>
      </w:pPr>
      <w:r>
        <w:rPr>
          <w:rFonts w:hint="eastAsia" w:ascii="仿宋_GB2312" w:hAnsi="仿宋" w:eastAsia="仿宋_GB2312" w:cs="仿宋"/>
          <w:snapToGrid w:val="0"/>
          <w:spacing w:val="-3"/>
          <w:sz w:val="32"/>
          <w:szCs w:val="32"/>
        </w:rPr>
        <w:t>参评学生以评定学年的首修平均绩点、首修平均分或排名参评。</w:t>
      </w:r>
    </w:p>
    <w:p>
      <w:pPr>
        <w:widowControl/>
        <w:numPr>
          <w:ilvl w:val="0"/>
          <w:numId w:val="1"/>
        </w:numPr>
        <w:kinsoku w:val="0"/>
        <w:autoSpaceDE w:val="0"/>
        <w:autoSpaceDN w:val="0"/>
        <w:adjustRightInd w:val="0"/>
        <w:snapToGrid w:val="0"/>
        <w:spacing w:line="560" w:lineRule="exact"/>
        <w:jc w:val="left"/>
        <w:textAlignment w:val="baseline"/>
        <w:outlineLvl w:val="0"/>
        <w:rPr>
          <w:rFonts w:ascii="仿宋_GB2312" w:hAnsi="仿宋" w:eastAsia="仿宋_GB2312" w:cs="仿宋"/>
          <w:b/>
          <w:snapToGrid w:val="0"/>
          <w:spacing w:val="-1"/>
          <w:position w:val="1"/>
          <w:sz w:val="32"/>
          <w:szCs w:val="32"/>
        </w:rPr>
      </w:pPr>
      <w:r>
        <w:rPr>
          <w:rFonts w:hint="eastAsia" w:ascii="黑体" w:hAnsi="黑体" w:eastAsia="黑体" w:cs="仿宋"/>
          <w:snapToGrid w:val="0"/>
          <w:spacing w:val="-1"/>
          <w:position w:val="1"/>
          <w:sz w:val="32"/>
          <w:szCs w:val="32"/>
        </w:rPr>
        <w:t>社会</w:t>
      </w:r>
      <w:r>
        <w:rPr>
          <w:rFonts w:hint="eastAsia" w:ascii="黑体" w:hAnsi="黑体" w:eastAsia="黑体" w:cs="仿宋"/>
          <w:snapToGrid w:val="0"/>
          <w:spacing w:val="-1"/>
          <w:position w:val="1"/>
          <w:sz w:val="32"/>
          <w:szCs w:val="32"/>
          <w:lang w:val="en-US" w:eastAsia="zh-CN"/>
        </w:rPr>
        <w:t>活动及</w:t>
      </w:r>
      <w:r>
        <w:rPr>
          <w:rFonts w:hint="eastAsia" w:ascii="黑体" w:hAnsi="黑体" w:eastAsia="黑体" w:cs="仿宋"/>
          <w:snapToGrid w:val="0"/>
          <w:spacing w:val="-1"/>
          <w:position w:val="1"/>
          <w:sz w:val="32"/>
          <w:szCs w:val="32"/>
        </w:rPr>
        <w:t>学生工作类</w:t>
      </w:r>
      <w:r>
        <w:rPr>
          <w:rFonts w:hint="eastAsia" w:ascii="黑体" w:hAnsi="黑体" w:eastAsia="黑体" w:cs="仿宋"/>
          <w:snapToGrid w:val="0"/>
          <w:spacing w:val="-1"/>
          <w:position w:val="1"/>
          <w:sz w:val="32"/>
          <w:szCs w:val="32"/>
        </w:rPr>
        <w:t>成绩标准</w:t>
      </w:r>
    </w:p>
    <w:p>
      <w:pPr>
        <w:autoSpaceDE w:val="0"/>
        <w:adjustRightInd w:val="0"/>
        <w:snapToGrid w:val="0"/>
        <w:spacing w:line="560" w:lineRule="exact"/>
        <w:ind w:firstLine="624" w:firstLineChars="200"/>
        <w:jc w:val="left"/>
        <w:textAlignment w:val="baseline"/>
        <w:rPr>
          <w:rFonts w:ascii="仿宋_GB2312" w:hAnsi="仿宋" w:eastAsia="仿宋_GB2312" w:cs="仿宋"/>
          <w:snapToGrid w:val="0"/>
          <w:sz w:val="32"/>
          <w:szCs w:val="32"/>
        </w:rPr>
      </w:pPr>
      <w:r>
        <w:rPr>
          <w:rFonts w:hint="eastAsia" w:ascii="仿宋_GB2312" w:hAnsi="仿宋" w:eastAsia="仿宋_GB2312" w:cs="仿宋"/>
          <w:snapToGrid w:val="0"/>
          <w:spacing w:val="-4"/>
          <w:sz w:val="32"/>
          <w:szCs w:val="32"/>
        </w:rPr>
        <w:t>学生本人填写《文科试验班</w:t>
      </w:r>
      <w:r>
        <w:rPr>
          <w:rFonts w:hint="eastAsia" w:ascii="仿宋_GB2312" w:hAnsi="仿宋" w:eastAsia="仿宋_GB2312" w:cs="仿宋"/>
          <w:snapToGrid w:val="0"/>
          <w:spacing w:val="-10"/>
          <w:sz w:val="32"/>
          <w:szCs w:val="32"/>
        </w:rPr>
        <w:t>奖学金申请表</w:t>
      </w:r>
      <w:r>
        <w:rPr>
          <w:rFonts w:hint="eastAsia" w:ascii="仿宋_GB2312" w:hAnsi="仿宋" w:eastAsia="仿宋_GB2312" w:cs="仿宋"/>
          <w:snapToGrid w:val="0"/>
          <w:spacing w:val="-2"/>
          <w:sz w:val="32"/>
          <w:szCs w:val="32"/>
        </w:rPr>
        <w:t xml:space="preserve">》（附件 </w:t>
      </w:r>
      <w:r>
        <w:rPr>
          <w:rFonts w:ascii="仿宋_GB2312" w:hAnsi="仿宋" w:eastAsia="仿宋_GB2312" w:cs="仿宋"/>
          <w:snapToGrid w:val="0"/>
          <w:spacing w:val="-2"/>
          <w:sz w:val="32"/>
          <w:szCs w:val="32"/>
        </w:rPr>
        <w:t>2</w:t>
      </w:r>
      <w:r>
        <w:rPr>
          <w:rFonts w:hint="eastAsia" w:ascii="仿宋_GB2312" w:hAnsi="仿宋" w:eastAsia="仿宋_GB2312" w:cs="仿宋"/>
          <w:snapToGrid w:val="0"/>
          <w:spacing w:val="-2"/>
          <w:sz w:val="32"/>
          <w:szCs w:val="32"/>
        </w:rPr>
        <w:t>）中</w:t>
      </w:r>
      <w:r>
        <w:rPr>
          <w:rFonts w:hint="eastAsia" w:ascii="仿宋_GB2312" w:hAnsi="仿宋" w:eastAsia="仿宋_GB2312" w:cs="仿宋"/>
          <w:color w:val="auto"/>
          <w:spacing w:val="-4"/>
          <w:sz w:val="32"/>
          <w:szCs w:val="32"/>
        </w:rPr>
        <w:t>社会</w:t>
      </w:r>
      <w:r>
        <w:rPr>
          <w:rFonts w:hint="eastAsia" w:ascii="仿宋_GB2312" w:hAnsi="仿宋" w:eastAsia="仿宋_GB2312" w:cs="仿宋"/>
          <w:color w:val="auto"/>
          <w:spacing w:val="-4"/>
          <w:sz w:val="32"/>
          <w:szCs w:val="32"/>
          <w:lang w:val="en-US" w:eastAsia="zh-CN"/>
        </w:rPr>
        <w:t>活动及</w:t>
      </w:r>
      <w:r>
        <w:rPr>
          <w:rFonts w:hint="eastAsia" w:ascii="仿宋_GB2312" w:hAnsi="仿宋" w:eastAsia="仿宋_GB2312" w:cs="仿宋"/>
          <w:color w:val="auto"/>
          <w:spacing w:val="-4"/>
          <w:sz w:val="32"/>
          <w:szCs w:val="32"/>
        </w:rPr>
        <w:t>学生工作类</w:t>
      </w:r>
      <w:r>
        <w:rPr>
          <w:rFonts w:hint="eastAsia" w:ascii="仿宋_GB2312" w:hAnsi="仿宋" w:eastAsia="仿宋_GB2312" w:cs="仿宋"/>
          <w:snapToGrid w:val="0"/>
          <w:spacing w:val="-2"/>
          <w:sz w:val="32"/>
          <w:szCs w:val="32"/>
        </w:rPr>
        <w:t>积分认定部分，</w:t>
      </w:r>
      <w:r>
        <w:rPr>
          <w:rFonts w:hint="eastAsia" w:ascii="仿宋_GB2312" w:hAnsi="仿宋" w:eastAsia="仿宋_GB2312" w:cs="仿宋"/>
          <w:snapToGrid w:val="0"/>
          <w:sz w:val="32"/>
          <w:szCs w:val="32"/>
        </w:rPr>
        <w:t>连同相关</w:t>
      </w:r>
      <w:r>
        <w:rPr>
          <w:rFonts w:hint="eastAsia" w:ascii="仿宋_GB2312" w:hAnsi="仿宋" w:eastAsia="仿宋_GB2312" w:cs="仿宋"/>
          <w:snapToGrid w:val="0"/>
          <w:spacing w:val="-8"/>
          <w:sz w:val="32"/>
          <w:szCs w:val="32"/>
        </w:rPr>
        <w:t>证明材料</w:t>
      </w:r>
      <w:r>
        <w:rPr>
          <w:rFonts w:hint="eastAsia" w:ascii="仿宋_GB2312" w:hAnsi="仿宋" w:eastAsia="仿宋_GB2312" w:cs="仿宋"/>
          <w:snapToGrid w:val="0"/>
          <w:spacing w:val="-5"/>
          <w:sz w:val="32"/>
          <w:szCs w:val="32"/>
        </w:rPr>
        <w:t>提</w:t>
      </w:r>
      <w:r>
        <w:rPr>
          <w:rFonts w:hint="eastAsia" w:ascii="仿宋_GB2312" w:hAnsi="仿宋" w:eastAsia="仿宋_GB2312" w:cs="仿宋"/>
          <w:snapToGrid w:val="0"/>
          <w:spacing w:val="-4"/>
          <w:sz w:val="32"/>
          <w:szCs w:val="32"/>
        </w:rPr>
        <w:t>交至院学办；</w:t>
      </w:r>
      <w:r>
        <w:rPr>
          <w:rFonts w:hint="eastAsia" w:ascii="仿宋_GB2312" w:hAnsi="仿宋" w:eastAsia="仿宋_GB2312" w:cs="仿宋"/>
          <w:snapToGrid w:val="0"/>
          <w:spacing w:val="-2"/>
          <w:sz w:val="32"/>
          <w:szCs w:val="32"/>
        </w:rPr>
        <w:t>由托管学院</w:t>
      </w:r>
      <w:r>
        <w:rPr>
          <w:rFonts w:hint="eastAsia" w:ascii="仿宋_GB2312" w:hAnsi="仿宋" w:eastAsia="仿宋_GB2312" w:cs="仿宋"/>
          <w:snapToGrid w:val="0"/>
          <w:spacing w:val="-1"/>
          <w:sz w:val="32"/>
          <w:szCs w:val="32"/>
        </w:rPr>
        <w:t>学办根据《文科试验班</w:t>
      </w:r>
      <w:r>
        <w:rPr>
          <w:rFonts w:hint="eastAsia" w:ascii="仿宋_GB2312" w:hAnsi="仿宋" w:eastAsia="仿宋_GB2312" w:cs="仿宋"/>
          <w:color w:val="auto"/>
          <w:spacing w:val="-4"/>
          <w:sz w:val="32"/>
          <w:szCs w:val="32"/>
        </w:rPr>
        <w:t>社会</w:t>
      </w:r>
      <w:r>
        <w:rPr>
          <w:rFonts w:hint="eastAsia" w:ascii="仿宋_GB2312" w:hAnsi="仿宋" w:eastAsia="仿宋_GB2312" w:cs="仿宋"/>
          <w:color w:val="auto"/>
          <w:spacing w:val="-4"/>
          <w:sz w:val="32"/>
          <w:szCs w:val="32"/>
          <w:lang w:val="en-US" w:eastAsia="zh-CN"/>
        </w:rPr>
        <w:t>活动及</w:t>
      </w:r>
      <w:r>
        <w:rPr>
          <w:rFonts w:hint="eastAsia" w:ascii="仿宋_GB2312" w:hAnsi="仿宋" w:eastAsia="仿宋_GB2312" w:cs="仿宋"/>
          <w:color w:val="auto"/>
          <w:spacing w:val="-4"/>
          <w:sz w:val="32"/>
          <w:szCs w:val="32"/>
        </w:rPr>
        <w:t>学生工作类</w:t>
      </w:r>
      <w:r>
        <w:rPr>
          <w:rFonts w:hint="eastAsia" w:ascii="仿宋_GB2312" w:hAnsi="仿宋" w:eastAsia="仿宋_GB2312" w:cs="仿宋"/>
          <w:snapToGrid w:val="0"/>
          <w:spacing w:val="-1"/>
          <w:sz w:val="32"/>
          <w:szCs w:val="32"/>
        </w:rPr>
        <w:t>积分计分表》完成计</w:t>
      </w:r>
      <w:r>
        <w:rPr>
          <w:rFonts w:hint="eastAsia" w:ascii="仿宋_GB2312" w:hAnsi="仿宋" w:eastAsia="仿宋_GB2312" w:cs="仿宋"/>
          <w:snapToGrid w:val="0"/>
          <w:sz w:val="32"/>
          <w:szCs w:val="32"/>
        </w:rPr>
        <w:t>分工作。</w:t>
      </w:r>
    </w:p>
    <w:p>
      <w:pPr>
        <w:widowControl/>
        <w:numPr>
          <w:ilvl w:val="0"/>
          <w:numId w:val="1"/>
        </w:numPr>
        <w:kinsoku w:val="0"/>
        <w:autoSpaceDE w:val="0"/>
        <w:autoSpaceDN w:val="0"/>
        <w:adjustRightInd w:val="0"/>
        <w:snapToGrid w:val="0"/>
        <w:spacing w:line="560" w:lineRule="exact"/>
        <w:jc w:val="left"/>
        <w:textAlignment w:val="baseline"/>
        <w:outlineLvl w:val="0"/>
        <w:rPr>
          <w:rFonts w:ascii="黑体" w:hAnsi="黑体" w:eastAsia="黑体" w:cs="仿宋"/>
          <w:snapToGrid w:val="0"/>
          <w:spacing w:val="-1"/>
          <w:position w:val="1"/>
          <w:sz w:val="32"/>
          <w:szCs w:val="32"/>
        </w:rPr>
      </w:pPr>
      <w:r>
        <w:rPr>
          <w:rFonts w:hint="eastAsia" w:ascii="黑体" w:hAnsi="黑体" w:eastAsia="黑体" w:cs="仿宋"/>
          <w:snapToGrid w:val="0"/>
          <w:spacing w:val="-1"/>
          <w:position w:val="1"/>
          <w:sz w:val="32"/>
          <w:szCs w:val="32"/>
        </w:rPr>
        <w:t>学科竞赛及科研活动类成绩标准</w:t>
      </w:r>
    </w:p>
    <w:p>
      <w:pPr>
        <w:autoSpaceDE w:val="0"/>
        <w:adjustRightInd w:val="0"/>
        <w:snapToGrid w:val="0"/>
        <w:spacing w:line="560" w:lineRule="exact"/>
        <w:ind w:firstLine="636" w:firstLineChars="200"/>
        <w:jc w:val="left"/>
        <w:textAlignment w:val="baseline"/>
        <w:outlineLvl w:val="0"/>
        <w:rPr>
          <w:rFonts w:ascii="仿宋_GB2312" w:hAnsi="仿宋" w:eastAsia="仿宋_GB2312" w:cs="仿宋"/>
          <w:snapToGrid w:val="0"/>
          <w:sz w:val="32"/>
          <w:szCs w:val="32"/>
        </w:rPr>
      </w:pPr>
      <w:r>
        <w:rPr>
          <w:rFonts w:hint="eastAsia" w:ascii="仿宋_GB2312" w:hAnsi="仿宋" w:eastAsia="仿宋_GB2312" w:cs="仿宋"/>
          <w:snapToGrid w:val="0"/>
          <w:spacing w:val="-1"/>
          <w:sz w:val="32"/>
          <w:szCs w:val="32"/>
        </w:rPr>
        <w:t>学生本人填写</w:t>
      </w:r>
      <w:r>
        <w:rPr>
          <w:rFonts w:hint="eastAsia" w:ascii="仿宋_GB2312" w:hAnsi="仿宋" w:eastAsia="仿宋_GB2312" w:cs="仿宋"/>
          <w:snapToGrid w:val="0"/>
          <w:spacing w:val="-4"/>
          <w:sz w:val="32"/>
          <w:szCs w:val="32"/>
        </w:rPr>
        <w:t>《文科试验班</w:t>
      </w:r>
      <w:r>
        <w:rPr>
          <w:rFonts w:hint="eastAsia" w:ascii="仿宋_GB2312" w:hAnsi="仿宋" w:eastAsia="仿宋_GB2312" w:cs="仿宋"/>
          <w:snapToGrid w:val="0"/>
          <w:spacing w:val="-10"/>
          <w:sz w:val="32"/>
          <w:szCs w:val="32"/>
        </w:rPr>
        <w:t>奖学金申请表</w:t>
      </w:r>
      <w:r>
        <w:rPr>
          <w:rFonts w:hint="eastAsia" w:ascii="仿宋_GB2312" w:hAnsi="仿宋" w:eastAsia="仿宋_GB2312" w:cs="仿宋"/>
          <w:snapToGrid w:val="0"/>
          <w:spacing w:val="-2"/>
          <w:sz w:val="32"/>
          <w:szCs w:val="32"/>
        </w:rPr>
        <w:t xml:space="preserve">》（附件 </w:t>
      </w:r>
      <w:r>
        <w:rPr>
          <w:rFonts w:ascii="仿宋_GB2312" w:hAnsi="仿宋" w:eastAsia="仿宋_GB2312" w:cs="仿宋"/>
          <w:snapToGrid w:val="0"/>
          <w:spacing w:val="-2"/>
          <w:sz w:val="32"/>
          <w:szCs w:val="32"/>
        </w:rPr>
        <w:t>2</w:t>
      </w:r>
      <w:r>
        <w:rPr>
          <w:rFonts w:hint="eastAsia" w:ascii="仿宋_GB2312" w:hAnsi="仿宋" w:eastAsia="仿宋_GB2312" w:cs="仿宋"/>
          <w:snapToGrid w:val="0"/>
          <w:spacing w:val="-2"/>
          <w:sz w:val="32"/>
          <w:szCs w:val="32"/>
        </w:rPr>
        <w:t>）中</w:t>
      </w:r>
      <w:r>
        <w:rPr>
          <w:rFonts w:hint="eastAsia" w:ascii="仿宋_GB2312" w:hAnsi="仿宋" w:eastAsia="仿宋_GB2312" w:cs="仿宋"/>
          <w:snapToGrid w:val="0"/>
          <w:spacing w:val="-1"/>
          <w:sz w:val="32"/>
          <w:szCs w:val="32"/>
        </w:rPr>
        <w:t>学术</w:t>
      </w:r>
      <w:r>
        <w:rPr>
          <w:rFonts w:hint="eastAsia" w:ascii="仿宋_GB2312" w:hAnsi="仿宋" w:eastAsia="仿宋_GB2312" w:cs="仿宋"/>
          <w:snapToGrid w:val="0"/>
          <w:sz w:val="32"/>
          <w:szCs w:val="32"/>
        </w:rPr>
        <w:t>创新能力</w:t>
      </w:r>
      <w:r>
        <w:rPr>
          <w:rFonts w:hint="eastAsia" w:ascii="仿宋_GB2312" w:hAnsi="仿宋" w:eastAsia="仿宋_GB2312" w:cs="仿宋"/>
          <w:snapToGrid w:val="0"/>
          <w:spacing w:val="-2"/>
          <w:sz w:val="32"/>
          <w:szCs w:val="32"/>
        </w:rPr>
        <w:t>部分</w:t>
      </w:r>
      <w:r>
        <w:rPr>
          <w:rFonts w:hint="eastAsia" w:ascii="仿宋_GB2312" w:hAnsi="仿宋" w:eastAsia="仿宋_GB2312" w:cs="仿宋"/>
          <w:snapToGrid w:val="0"/>
          <w:sz w:val="32"/>
          <w:szCs w:val="32"/>
        </w:rPr>
        <w:t>，连同相关</w:t>
      </w:r>
      <w:r>
        <w:rPr>
          <w:rFonts w:hint="eastAsia" w:ascii="仿宋_GB2312" w:hAnsi="仿宋" w:eastAsia="仿宋_GB2312" w:cs="仿宋"/>
          <w:snapToGrid w:val="0"/>
          <w:spacing w:val="-8"/>
          <w:sz w:val="32"/>
          <w:szCs w:val="32"/>
        </w:rPr>
        <w:t>证明材料</w:t>
      </w:r>
      <w:r>
        <w:rPr>
          <w:rFonts w:hint="eastAsia" w:ascii="仿宋_GB2312" w:hAnsi="仿宋" w:eastAsia="仿宋_GB2312" w:cs="仿宋"/>
          <w:snapToGrid w:val="0"/>
          <w:spacing w:val="-5"/>
          <w:sz w:val="32"/>
          <w:szCs w:val="32"/>
        </w:rPr>
        <w:t>提</w:t>
      </w:r>
      <w:r>
        <w:rPr>
          <w:rFonts w:hint="eastAsia" w:ascii="仿宋_GB2312" w:hAnsi="仿宋" w:eastAsia="仿宋_GB2312" w:cs="仿宋"/>
          <w:snapToGrid w:val="0"/>
          <w:spacing w:val="-4"/>
          <w:sz w:val="32"/>
          <w:szCs w:val="32"/>
        </w:rPr>
        <w:t>交至院学办；根据学生的申请材料或答辩情况，由工作组给予不高于5分的加分，取各评委加分的平</w:t>
      </w:r>
      <w:r>
        <w:rPr>
          <w:rFonts w:hint="eastAsia" w:ascii="仿宋_GB2312" w:hAnsi="仿宋" w:eastAsia="仿宋_GB2312" w:cs="仿宋"/>
          <w:snapToGrid w:val="0"/>
          <w:spacing w:val="-1"/>
          <w:sz w:val="32"/>
          <w:szCs w:val="32"/>
        </w:rPr>
        <w:t>均值为该学生的此类得</w:t>
      </w:r>
      <w:r>
        <w:rPr>
          <w:rFonts w:hint="eastAsia" w:ascii="仿宋_GB2312" w:hAnsi="仿宋" w:eastAsia="仿宋_GB2312" w:cs="仿宋"/>
          <w:snapToGrid w:val="0"/>
          <w:sz w:val="32"/>
          <w:szCs w:val="32"/>
        </w:rPr>
        <w:t>分。</w:t>
      </w:r>
    </w:p>
    <w:p>
      <w:pPr>
        <w:widowControl/>
        <w:numPr>
          <w:ilvl w:val="0"/>
          <w:numId w:val="1"/>
        </w:numPr>
        <w:kinsoku w:val="0"/>
        <w:autoSpaceDE w:val="0"/>
        <w:autoSpaceDN w:val="0"/>
        <w:adjustRightInd w:val="0"/>
        <w:snapToGrid w:val="0"/>
        <w:spacing w:line="560" w:lineRule="exact"/>
        <w:jc w:val="left"/>
        <w:textAlignment w:val="baseline"/>
        <w:outlineLvl w:val="0"/>
        <w:rPr>
          <w:rFonts w:ascii="黑体" w:hAnsi="黑体" w:eastAsia="黑体" w:cs="仿宋"/>
          <w:snapToGrid w:val="0"/>
          <w:spacing w:val="-1"/>
          <w:position w:val="1"/>
          <w:sz w:val="32"/>
          <w:szCs w:val="32"/>
        </w:rPr>
      </w:pPr>
      <w:r>
        <w:rPr>
          <w:rFonts w:hint="eastAsia" w:ascii="黑体" w:hAnsi="黑体" w:eastAsia="黑体" w:cs="仿宋"/>
          <w:snapToGrid w:val="0"/>
          <w:spacing w:val="-1"/>
          <w:position w:val="1"/>
          <w:sz w:val="32"/>
          <w:szCs w:val="32"/>
        </w:rPr>
        <w:t>其他</w:t>
      </w:r>
    </w:p>
    <w:p>
      <w:pPr>
        <w:autoSpaceDE w:val="0"/>
        <w:adjustRightInd w:val="0"/>
        <w:snapToGrid w:val="0"/>
        <w:spacing w:line="560" w:lineRule="exact"/>
        <w:ind w:firstLine="640" w:firstLineChars="200"/>
        <w:jc w:val="left"/>
        <w:textAlignment w:val="baseline"/>
        <w:outlineLvl w:val="0"/>
        <w:rPr>
          <w:rFonts w:ascii="仿宋_GB2312" w:hAnsi="仿宋" w:eastAsia="仿宋_GB2312" w:cs="仿宋"/>
          <w:snapToGrid w:val="0"/>
          <w:sz w:val="32"/>
          <w:szCs w:val="32"/>
        </w:rPr>
      </w:pPr>
      <w:r>
        <w:rPr>
          <w:rFonts w:hint="eastAsia" w:ascii="仿宋_GB2312" w:hAnsi="仿宋" w:eastAsia="仿宋_GB2312" w:cs="仿宋"/>
          <w:snapToGrid w:val="0"/>
          <w:sz w:val="32"/>
          <w:szCs w:val="32"/>
        </w:rPr>
        <w:t>1</w:t>
      </w:r>
      <w:r>
        <w:rPr>
          <w:rFonts w:ascii="仿宋_GB2312" w:hAnsi="仿宋" w:eastAsia="仿宋_GB2312" w:cs="仿宋"/>
          <w:snapToGrid w:val="0"/>
          <w:sz w:val="32"/>
          <w:szCs w:val="32"/>
        </w:rPr>
        <w:t>.</w:t>
      </w:r>
      <w:r>
        <w:rPr>
          <w:rFonts w:hint="eastAsia" w:ascii="仿宋_GB2312" w:hAnsi="仿宋" w:eastAsia="仿宋_GB2312" w:cs="仿宋"/>
          <w:snapToGrid w:val="0"/>
          <w:sz w:val="32"/>
          <w:szCs w:val="32"/>
        </w:rPr>
        <w:t>以上标准由工作组授权托管学院学办负责解释，并根据实际情况及时向评审小组反馈调整。</w:t>
      </w:r>
    </w:p>
    <w:p>
      <w:pPr>
        <w:autoSpaceDE w:val="0"/>
        <w:adjustRightInd w:val="0"/>
        <w:snapToGrid w:val="0"/>
        <w:spacing w:line="560" w:lineRule="exact"/>
        <w:ind w:firstLine="640" w:firstLineChars="200"/>
        <w:jc w:val="left"/>
        <w:textAlignment w:val="baseline"/>
        <w:outlineLvl w:val="0"/>
        <w:rPr>
          <w:rFonts w:ascii="仿宋_GB2312" w:hAnsi="仿宋" w:eastAsia="仿宋_GB2312" w:cs="仿宋"/>
          <w:snapToGrid w:val="0"/>
          <w:sz w:val="32"/>
          <w:szCs w:val="32"/>
        </w:rPr>
      </w:pPr>
      <w:r>
        <w:rPr>
          <w:rFonts w:ascii="仿宋_GB2312" w:hAnsi="仿宋" w:eastAsia="仿宋_GB2312" w:cs="仿宋"/>
          <w:snapToGrid w:val="0"/>
          <w:sz w:val="32"/>
          <w:szCs w:val="32"/>
        </w:rPr>
        <w:t>2.</w:t>
      </w:r>
      <w:r>
        <w:rPr>
          <w:rFonts w:hint="eastAsia" w:ascii="仿宋_GB2312" w:hAnsi="仿宋" w:eastAsia="仿宋_GB2312" w:cs="仿宋"/>
          <w:snapToGrid w:val="0"/>
          <w:sz w:val="32"/>
          <w:szCs w:val="32"/>
        </w:rPr>
        <w:t>计分标准未列举的特殊情况由工作组讨论决定。</w:t>
      </w:r>
    </w:p>
    <w:p>
      <w:pPr>
        <w:autoSpaceDE w:val="0"/>
        <w:adjustRightInd w:val="0"/>
        <w:snapToGrid w:val="0"/>
        <w:spacing w:line="560" w:lineRule="exact"/>
        <w:ind w:firstLine="640" w:firstLineChars="200"/>
        <w:jc w:val="left"/>
        <w:textAlignment w:val="baseline"/>
        <w:outlineLvl w:val="0"/>
        <w:rPr>
          <w:rFonts w:ascii="仿宋_GB2312" w:hAnsi="仿宋" w:eastAsia="仿宋_GB2312" w:cs="仿宋"/>
          <w:snapToGrid w:val="0"/>
          <w:sz w:val="32"/>
          <w:szCs w:val="32"/>
        </w:rPr>
      </w:pPr>
      <w:r>
        <w:rPr>
          <w:rFonts w:hint="eastAsia" w:ascii="仿宋_GB2312" w:hAnsi="仿宋" w:eastAsia="仿宋_GB2312" w:cs="仿宋"/>
          <w:snapToGrid w:val="0"/>
          <w:sz w:val="32"/>
          <w:szCs w:val="32"/>
        </w:rPr>
        <w:t>3</w:t>
      </w:r>
      <w:r>
        <w:rPr>
          <w:rFonts w:ascii="仿宋_GB2312" w:hAnsi="仿宋" w:eastAsia="仿宋_GB2312" w:cs="仿宋"/>
          <w:snapToGrid w:val="0"/>
          <w:sz w:val="32"/>
          <w:szCs w:val="32"/>
        </w:rPr>
        <w:t>.</w:t>
      </w:r>
      <w:r>
        <w:rPr>
          <w:rFonts w:hint="eastAsia" w:ascii="仿宋_GB2312" w:hAnsi="仿宋" w:eastAsia="仿宋_GB2312" w:cs="仿宋"/>
          <w:snapToGrid w:val="0"/>
          <w:sz w:val="32"/>
          <w:szCs w:val="32"/>
        </w:rPr>
        <w:t>若伪造证明骗取得分，一经发现，取消其所有后续评奖资格。</w:t>
      </w:r>
    </w:p>
    <w:p>
      <w:pPr>
        <w:widowControl/>
        <w:kinsoku w:val="0"/>
        <w:autoSpaceDE w:val="0"/>
        <w:autoSpaceDN w:val="0"/>
        <w:adjustRightInd w:val="0"/>
        <w:snapToGrid w:val="0"/>
        <w:jc w:val="left"/>
        <w:textAlignment w:val="baseline"/>
        <w:rPr>
          <w:rFonts w:ascii="Arial" w:hAnsi="Arial" w:eastAsia="Arial" w:cs="Arial"/>
          <w:snapToGrid w:val="0"/>
          <w:szCs w:val="21"/>
        </w:rPr>
        <w:sectPr>
          <w:pgSz w:w="11907" w:h="16839"/>
          <w:pgMar w:top="1440" w:right="1800" w:bottom="1440" w:left="1800" w:header="0" w:footer="0" w:gutter="0"/>
          <w:cols w:space="720" w:num="1"/>
        </w:sectPr>
      </w:pPr>
    </w:p>
    <w:p>
      <w:pPr>
        <w:autoSpaceDE w:val="0"/>
        <w:adjustRightInd w:val="0"/>
        <w:snapToGrid w:val="0"/>
        <w:spacing w:before="101" w:line="560" w:lineRule="exact"/>
        <w:jc w:val="center"/>
        <w:textAlignment w:val="baseline"/>
        <w:rPr>
          <w:rFonts w:hint="eastAsia" w:ascii="方正小标宋简体" w:hAnsi="黑体" w:eastAsia="方正小标宋简体" w:cs="黑体"/>
          <w:snapToGrid w:val="0"/>
          <w:spacing w:val="-1"/>
          <w:sz w:val="44"/>
          <w:szCs w:val="44"/>
        </w:rPr>
      </w:pPr>
      <w:r>
        <w:rPr>
          <w:rFonts w:hint="eastAsia" w:ascii="方正小标宋简体" w:hAnsi="黑体" w:eastAsia="方正小标宋简体" w:cs="黑体"/>
          <w:snapToGrid w:val="0"/>
          <w:spacing w:val="-1"/>
          <w:sz w:val="44"/>
          <w:szCs w:val="44"/>
        </w:rPr>
        <w:t>文科试验班社会</w:t>
      </w:r>
      <w:r>
        <w:rPr>
          <w:rFonts w:hint="eastAsia" w:ascii="方正小标宋简体" w:hAnsi="黑体" w:eastAsia="方正小标宋简体" w:cs="黑体"/>
          <w:snapToGrid w:val="0"/>
          <w:spacing w:val="-1"/>
          <w:sz w:val="44"/>
          <w:szCs w:val="44"/>
          <w:lang w:val="en-US" w:eastAsia="zh-CN"/>
        </w:rPr>
        <w:t>活动及</w:t>
      </w:r>
      <w:r>
        <w:rPr>
          <w:rFonts w:hint="eastAsia" w:ascii="方正小标宋简体" w:hAnsi="黑体" w:eastAsia="方正小标宋简体" w:cs="黑体"/>
          <w:snapToGrid w:val="0"/>
          <w:spacing w:val="-1"/>
          <w:sz w:val="44"/>
          <w:szCs w:val="44"/>
        </w:rPr>
        <w:t>学生工作类</w:t>
      </w:r>
      <w:r>
        <w:rPr>
          <w:rFonts w:hint="eastAsia" w:ascii="方正小标宋简体" w:hAnsi="黑体" w:eastAsia="方正小标宋简体" w:cs="黑体"/>
          <w:snapToGrid w:val="0"/>
          <w:spacing w:val="-1"/>
          <w:sz w:val="44"/>
          <w:szCs w:val="44"/>
        </w:rPr>
        <w:t>积分计分表</w:t>
      </w:r>
    </w:p>
    <w:p>
      <w:pPr>
        <w:widowControl w:val="0"/>
        <w:numPr>
          <w:ilvl w:val="0"/>
          <w:numId w:val="2"/>
        </w:numPr>
        <w:kinsoku/>
        <w:autoSpaceDN/>
        <w:spacing w:before="30" w:line="560" w:lineRule="exact"/>
        <w:ind w:left="9"/>
        <w:outlineLvl w:val="6"/>
        <w:rPr>
          <w:rFonts w:ascii="宋体" w:hAnsi="宋体" w:eastAsia="宋体" w:cs="宋体"/>
          <w:color w:val="auto"/>
          <w:sz w:val="24"/>
          <w:szCs w:val="24"/>
        </w:rPr>
      </w:pPr>
      <w:r>
        <w:rPr>
          <w:rFonts w:ascii="宋体" w:hAnsi="宋体" w:eastAsia="宋体" w:cs="宋体"/>
          <w:color w:val="auto"/>
          <w:spacing w:val="-1"/>
          <w:sz w:val="24"/>
          <w:szCs w:val="24"/>
        </w:rPr>
        <w:t>社会活动及获</w:t>
      </w:r>
      <w:r>
        <w:rPr>
          <w:rFonts w:ascii="宋体" w:hAnsi="宋体" w:eastAsia="宋体" w:cs="宋体"/>
          <w:color w:val="auto"/>
          <w:sz w:val="24"/>
          <w:szCs w:val="24"/>
        </w:rPr>
        <w:t>得荣誉</w:t>
      </w:r>
      <w:r>
        <w:rPr>
          <w:rFonts w:hint="eastAsia" w:ascii="宋体" w:hAnsi="宋体" w:eastAsia="宋体" w:cs="宋体"/>
          <w:color w:val="auto"/>
          <w:sz w:val="24"/>
          <w:szCs w:val="24"/>
          <w:lang w:val="en-US" w:eastAsia="zh-CN"/>
        </w:rPr>
        <w:t>与奖励</w:t>
      </w:r>
      <w:r>
        <w:rPr>
          <w:rFonts w:ascii="宋体" w:hAnsi="宋体" w:eastAsia="宋体" w:cs="宋体"/>
          <w:color w:val="auto"/>
          <w:sz w:val="24"/>
          <w:szCs w:val="24"/>
        </w:rPr>
        <w:t>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60</w:t>
      </w:r>
      <w:r>
        <w:rPr>
          <w:rFonts w:hint="eastAsia" w:ascii="仿宋" w:hAnsi="仿宋" w:eastAsia="仿宋" w:cs="仿宋"/>
          <w:bCs/>
          <w:color w:val="FF0000"/>
        </w:rPr>
        <w:t>分）</w:t>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textAlignment w:val="baseline"/>
        <w:outlineLvl w:val="6"/>
        <w:rPr>
          <w:rFonts w:ascii="宋体" w:hAnsi="宋体" w:eastAsia="宋体" w:cs="宋体"/>
          <w:color w:val="auto"/>
          <w:sz w:val="24"/>
          <w:szCs w:val="24"/>
        </w:rPr>
      </w:pPr>
      <w:r>
        <w:rPr>
          <w:rFonts w:hint="eastAsia" w:ascii="宋体" w:hAnsi="宋体" w:eastAsia="宋体" w:cs="宋体"/>
          <w:color w:val="auto"/>
          <w:sz w:val="24"/>
          <w:szCs w:val="24"/>
        </w:rPr>
        <w:t>参与社会活动</w:t>
      </w:r>
      <w:r>
        <w:rPr>
          <w:rFonts w:hint="eastAsia" w:ascii="宋体" w:hAnsi="宋体" w:eastAsia="宋体" w:cs="宋体"/>
          <w:color w:val="auto"/>
          <w:sz w:val="24"/>
          <w:szCs w:val="24"/>
          <w:lang w:val="en-US" w:eastAsia="zh-CN"/>
        </w:rPr>
        <w:t>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8</w:t>
      </w:r>
      <w:r>
        <w:rPr>
          <w:rFonts w:hint="eastAsia" w:ascii="仿宋" w:hAnsi="仿宋" w:eastAsia="仿宋" w:cs="仿宋"/>
          <w:bCs/>
          <w:color w:val="FF0000"/>
        </w:rPr>
        <w:t>分）</w:t>
      </w:r>
    </w:p>
    <w:tbl>
      <w:tblPr>
        <w:tblStyle w:val="18"/>
        <w:tblW w:w="5014"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2945"/>
        <w:gridCol w:w="1929"/>
        <w:gridCol w:w="1382"/>
        <w:gridCol w:w="1703"/>
        <w:gridCol w:w="1873"/>
        <w:gridCol w:w="5619"/>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953" w:type="pct"/>
            <w:vMerge w:val="restart"/>
            <w:vAlign w:val="center"/>
          </w:tcPr>
          <w:p>
            <w:pPr>
              <w:widowControl w:val="0"/>
              <w:kinsoku/>
              <w:autoSpaceDN/>
              <w:jc w:val="center"/>
              <w:rPr>
                <w:rFonts w:ascii="楷体" w:hAnsi="楷体" w:eastAsia="楷体" w:cs="楷体"/>
                <w:color w:val="auto"/>
              </w:rPr>
            </w:pPr>
            <w:r>
              <w:rPr>
                <w:rFonts w:hint="eastAsia" w:ascii="楷体" w:hAnsi="楷体" w:eastAsia="楷体" w:cs="楷体"/>
                <w:color w:val="auto"/>
              </w:rPr>
              <w:t>类别</w:t>
            </w:r>
          </w:p>
        </w:tc>
        <w:tc>
          <w:tcPr>
            <w:tcW w:w="624" w:type="pct"/>
            <w:vMerge w:val="restart"/>
            <w:tcBorders>
              <w:bottom w:val="nil"/>
            </w:tcBorders>
            <w:vAlign w:val="center"/>
          </w:tcPr>
          <w:p>
            <w:pPr>
              <w:widowControl w:val="0"/>
              <w:kinsoku/>
              <w:autoSpaceDN/>
              <w:spacing w:before="34"/>
              <w:jc w:val="center"/>
              <w:rPr>
                <w:rFonts w:ascii="楷体" w:hAnsi="楷体" w:eastAsia="楷体" w:cs="楷体"/>
                <w:color w:val="auto"/>
              </w:rPr>
            </w:pPr>
            <w:r>
              <w:rPr>
                <w:rFonts w:hint="eastAsia" w:ascii="楷体" w:hAnsi="楷体" w:eastAsia="楷体" w:cs="楷体"/>
                <w:color w:val="auto"/>
                <w:spacing w:val="-2"/>
              </w:rPr>
              <w:t>单人参与</w:t>
            </w:r>
          </w:p>
        </w:tc>
        <w:tc>
          <w:tcPr>
            <w:tcW w:w="1604" w:type="pct"/>
            <w:gridSpan w:val="3"/>
            <w:vAlign w:val="center"/>
          </w:tcPr>
          <w:p>
            <w:pPr>
              <w:widowControl w:val="0"/>
              <w:kinsoku/>
              <w:autoSpaceDN/>
              <w:spacing w:before="29"/>
              <w:ind w:left="1469"/>
              <w:jc w:val="both"/>
              <w:rPr>
                <w:rFonts w:ascii="楷体" w:hAnsi="楷体" w:eastAsia="楷体" w:cs="楷体"/>
                <w:color w:val="auto"/>
              </w:rPr>
            </w:pPr>
            <w:r>
              <w:rPr>
                <w:rFonts w:hint="eastAsia" w:ascii="楷体" w:hAnsi="楷体" w:eastAsia="楷体" w:cs="楷体"/>
                <w:color w:val="auto"/>
                <w:spacing w:val="-1"/>
              </w:rPr>
              <w:t>集体参</w:t>
            </w:r>
            <w:r>
              <w:rPr>
                <w:rFonts w:hint="eastAsia" w:ascii="楷体" w:hAnsi="楷体" w:eastAsia="楷体" w:cs="楷体"/>
                <w:color w:val="auto"/>
              </w:rPr>
              <w:t>与</w:t>
            </w:r>
          </w:p>
        </w:tc>
        <w:tc>
          <w:tcPr>
            <w:tcW w:w="1818" w:type="pct"/>
            <w:vMerge w:val="restart"/>
            <w:vAlign w:val="center"/>
          </w:tcPr>
          <w:p>
            <w:pPr>
              <w:widowControl w:val="0"/>
              <w:kinsoku/>
              <w:autoSpaceDN/>
              <w:jc w:val="center"/>
              <w:rPr>
                <w:rFonts w:ascii="楷体" w:hAnsi="楷体" w:eastAsia="楷体" w:cs="楷体"/>
                <w:color w:val="auto"/>
              </w:rPr>
            </w:pPr>
            <w:r>
              <w:rPr>
                <w:rFonts w:hint="eastAsia" w:ascii="楷体" w:hAnsi="楷体" w:eastAsia="楷体" w:cs="楷体"/>
                <w:color w:val="auto"/>
              </w:rPr>
              <w:t>说明</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953" w:type="pct"/>
            <w:vMerge w:val="continue"/>
            <w:tcBorders>
              <w:top w:val="nil"/>
            </w:tcBorders>
            <w:vAlign w:val="center"/>
          </w:tcPr>
          <w:p>
            <w:pPr>
              <w:widowControl w:val="0"/>
              <w:kinsoku/>
              <w:autoSpaceDN/>
              <w:jc w:val="center"/>
              <w:rPr>
                <w:rFonts w:ascii="楷体" w:hAnsi="楷体" w:eastAsia="楷体" w:cs="楷体"/>
                <w:color w:val="auto"/>
              </w:rPr>
            </w:pPr>
          </w:p>
        </w:tc>
        <w:tc>
          <w:tcPr>
            <w:tcW w:w="624" w:type="pct"/>
            <w:vMerge w:val="continue"/>
            <w:tcBorders>
              <w:top w:val="nil"/>
            </w:tcBorders>
            <w:vAlign w:val="center"/>
          </w:tcPr>
          <w:p>
            <w:pPr>
              <w:widowControl w:val="0"/>
              <w:kinsoku/>
              <w:autoSpaceDN/>
              <w:jc w:val="center"/>
              <w:rPr>
                <w:rFonts w:ascii="楷体" w:hAnsi="楷体" w:eastAsia="楷体" w:cs="楷体"/>
                <w:color w:val="auto"/>
              </w:rPr>
            </w:pPr>
          </w:p>
        </w:tc>
        <w:tc>
          <w:tcPr>
            <w:tcW w:w="447" w:type="pct"/>
            <w:vAlign w:val="center"/>
          </w:tcPr>
          <w:p>
            <w:pPr>
              <w:widowControl w:val="0"/>
              <w:kinsoku/>
              <w:autoSpaceDN/>
              <w:spacing w:before="28"/>
              <w:ind w:left="236" w:firstLine="204" w:firstLineChars="100"/>
              <w:jc w:val="both"/>
              <w:rPr>
                <w:rFonts w:ascii="楷体" w:hAnsi="楷体" w:eastAsia="楷体" w:cs="楷体"/>
                <w:color w:val="auto"/>
              </w:rPr>
            </w:pPr>
            <w:r>
              <w:rPr>
                <w:rFonts w:hint="eastAsia" w:ascii="楷体" w:hAnsi="楷体" w:eastAsia="楷体" w:cs="楷体"/>
                <w:color w:val="auto"/>
                <w:spacing w:val="-3"/>
              </w:rPr>
              <w:t>负责人</w:t>
            </w:r>
          </w:p>
        </w:tc>
        <w:tc>
          <w:tcPr>
            <w:tcW w:w="551" w:type="pct"/>
            <w:vAlign w:val="center"/>
          </w:tcPr>
          <w:p>
            <w:pPr>
              <w:widowControl w:val="0"/>
              <w:kinsoku/>
              <w:autoSpaceDN/>
              <w:spacing w:before="28"/>
              <w:ind w:left="154"/>
              <w:jc w:val="center"/>
              <w:rPr>
                <w:rFonts w:ascii="楷体" w:hAnsi="楷体" w:eastAsia="楷体" w:cs="楷体"/>
                <w:color w:val="auto"/>
              </w:rPr>
            </w:pPr>
            <w:r>
              <w:rPr>
                <w:rFonts w:hint="eastAsia" w:ascii="楷体" w:hAnsi="楷体" w:eastAsia="楷体" w:cs="楷体"/>
                <w:color w:val="auto"/>
                <w:spacing w:val="-1"/>
              </w:rPr>
              <w:t>主要参与</w:t>
            </w:r>
            <w:r>
              <w:rPr>
                <w:rFonts w:hint="eastAsia" w:ascii="楷体" w:hAnsi="楷体" w:eastAsia="楷体" w:cs="楷体"/>
                <w:color w:val="auto"/>
              </w:rPr>
              <w:t>人</w:t>
            </w:r>
          </w:p>
        </w:tc>
        <w:tc>
          <w:tcPr>
            <w:tcW w:w="606" w:type="pct"/>
            <w:vAlign w:val="center"/>
          </w:tcPr>
          <w:p>
            <w:pPr>
              <w:widowControl w:val="0"/>
              <w:kinsoku/>
              <w:autoSpaceDN/>
              <w:spacing w:before="28"/>
              <w:ind w:left="151"/>
              <w:jc w:val="center"/>
              <w:rPr>
                <w:rFonts w:ascii="楷体" w:hAnsi="楷体" w:eastAsia="楷体" w:cs="楷体"/>
                <w:color w:val="auto"/>
              </w:rPr>
            </w:pPr>
            <w:r>
              <w:rPr>
                <w:rFonts w:hint="eastAsia" w:ascii="楷体" w:hAnsi="楷体" w:eastAsia="楷体" w:cs="楷体"/>
                <w:color w:val="auto"/>
                <w:spacing w:val="-1"/>
              </w:rPr>
              <w:t>其他参</w:t>
            </w:r>
            <w:r>
              <w:rPr>
                <w:rFonts w:hint="eastAsia" w:ascii="楷体" w:hAnsi="楷体" w:eastAsia="楷体" w:cs="楷体"/>
                <w:color w:val="auto"/>
              </w:rPr>
              <w:t>与人</w:t>
            </w:r>
          </w:p>
        </w:tc>
        <w:tc>
          <w:tcPr>
            <w:tcW w:w="1818" w:type="pct"/>
            <w:vMerge w:val="continue"/>
            <w:tcBorders>
              <w:top w:val="nil"/>
            </w:tcBorders>
            <w:vAlign w:val="center"/>
          </w:tcPr>
          <w:p>
            <w:pPr>
              <w:widowControl w:val="0"/>
              <w:kinsoku/>
              <w:autoSpaceDN/>
              <w:jc w:val="center"/>
              <w:rPr>
                <w:rFonts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953" w:type="pct"/>
            <w:vAlign w:val="center"/>
          </w:tcPr>
          <w:p>
            <w:pPr>
              <w:widowControl w:val="0"/>
              <w:kinsoku/>
              <w:autoSpaceDN/>
              <w:spacing w:before="30"/>
              <w:jc w:val="center"/>
              <w:rPr>
                <w:rFonts w:ascii="楷体" w:hAnsi="楷体" w:eastAsia="楷体" w:cs="楷体"/>
                <w:color w:val="auto"/>
              </w:rPr>
            </w:pPr>
            <w:r>
              <w:rPr>
                <w:rFonts w:hint="eastAsia" w:ascii="楷体" w:hAnsi="楷体" w:eastAsia="楷体" w:cs="楷体"/>
                <w:color w:val="auto"/>
                <w:spacing w:val="-1"/>
              </w:rPr>
              <w:t>校级、学院活</w:t>
            </w:r>
            <w:r>
              <w:rPr>
                <w:rFonts w:hint="eastAsia" w:ascii="楷体" w:hAnsi="楷体" w:eastAsia="楷体" w:cs="楷体"/>
                <w:color w:val="auto"/>
              </w:rPr>
              <w:t>动</w:t>
            </w:r>
          </w:p>
        </w:tc>
        <w:tc>
          <w:tcPr>
            <w:tcW w:w="624" w:type="pct"/>
            <w:vAlign w:val="center"/>
          </w:tcPr>
          <w:p>
            <w:pPr>
              <w:widowControl w:val="0"/>
              <w:kinsoku/>
              <w:autoSpaceDN/>
              <w:spacing w:before="68"/>
              <w:jc w:val="center"/>
              <w:rPr>
                <w:rFonts w:hint="default" w:ascii="楷体" w:hAnsi="楷体" w:eastAsia="楷体" w:cs="楷体"/>
                <w:color w:val="auto"/>
                <w:lang w:val="en-US" w:eastAsia="zh-CN"/>
              </w:rPr>
            </w:pPr>
            <w:r>
              <w:rPr>
                <w:rFonts w:hint="eastAsia" w:ascii="楷体" w:hAnsi="楷体" w:eastAsia="楷体" w:cs="楷体"/>
                <w:color w:val="auto"/>
                <w:spacing w:val="-2"/>
                <w:lang w:val="en-US" w:eastAsia="zh-CN"/>
              </w:rPr>
              <w:t>0.8</w:t>
            </w:r>
          </w:p>
        </w:tc>
        <w:tc>
          <w:tcPr>
            <w:tcW w:w="447" w:type="pct"/>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lang w:val="en-US" w:eastAsia="zh-CN"/>
              </w:rPr>
              <w:t>0.8</w:t>
            </w:r>
          </w:p>
        </w:tc>
        <w:tc>
          <w:tcPr>
            <w:tcW w:w="551" w:type="pct"/>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lang w:val="en-US" w:eastAsia="zh-CN"/>
              </w:rPr>
              <w:t>0.8</w:t>
            </w:r>
          </w:p>
        </w:tc>
        <w:tc>
          <w:tcPr>
            <w:tcW w:w="606" w:type="pct"/>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lang w:val="en-US" w:eastAsia="zh-CN"/>
              </w:rPr>
              <w:t>0.8</w:t>
            </w:r>
          </w:p>
        </w:tc>
        <w:tc>
          <w:tcPr>
            <w:tcW w:w="1818" w:type="pct"/>
            <w:vAlign w:val="center"/>
          </w:tcPr>
          <w:p>
            <w:pPr>
              <w:widowControl w:val="0"/>
              <w:numPr>
                <w:ilvl w:val="0"/>
                <w:numId w:val="4"/>
              </w:numPr>
              <w:kinsoku/>
              <w:autoSpaceDN/>
              <w:jc w:val="both"/>
              <w:rPr>
                <w:rFonts w:ascii="楷体" w:hAnsi="楷体" w:eastAsia="楷体" w:cs="楷体"/>
                <w:color w:val="auto"/>
              </w:rPr>
            </w:pPr>
            <w:r>
              <w:rPr>
                <w:rFonts w:hint="eastAsia" w:ascii="楷体" w:hAnsi="楷体" w:eastAsia="楷体" w:cs="楷体"/>
                <w:color w:val="auto"/>
                <w:spacing w:val="2"/>
              </w:rPr>
              <w:t>校级、学院活动指校团委、学工</w:t>
            </w:r>
            <w:r>
              <w:rPr>
                <w:rFonts w:hint="eastAsia" w:ascii="楷体" w:hAnsi="楷体" w:eastAsia="楷体" w:cs="楷体"/>
                <w:color w:val="auto"/>
                <w:spacing w:val="1"/>
              </w:rPr>
              <w:t>部、研工部等校级部门、人文学院、党团支部正式举办的主题活动、文体活动等；</w:t>
            </w:r>
          </w:p>
          <w:p>
            <w:pPr>
              <w:widowControl w:val="0"/>
              <w:numPr>
                <w:ilvl w:val="0"/>
                <w:numId w:val="4"/>
              </w:numPr>
              <w:kinsoku/>
              <w:autoSpaceDN/>
              <w:jc w:val="both"/>
              <w:rPr>
                <w:rFonts w:ascii="楷体" w:hAnsi="楷体" w:eastAsia="楷体" w:cs="楷体"/>
                <w:color w:val="auto"/>
              </w:rPr>
            </w:pPr>
            <w:r>
              <w:rPr>
                <w:rFonts w:hint="eastAsia" w:ascii="楷体" w:hAnsi="楷体" w:eastAsia="楷体" w:cs="楷体"/>
                <w:color w:val="auto"/>
                <w:spacing w:val="1"/>
              </w:rPr>
              <w:t>参加活动积分一个长学期不</w:t>
            </w:r>
            <w:r>
              <w:rPr>
                <w:rFonts w:hint="eastAsia" w:ascii="楷体" w:hAnsi="楷体" w:eastAsia="楷体" w:cs="楷体"/>
                <w:color w:val="auto"/>
                <w:spacing w:val="-12"/>
              </w:rPr>
              <w:t>超过</w:t>
            </w:r>
            <w:r>
              <w:rPr>
                <w:rFonts w:hint="eastAsia" w:ascii="楷体" w:hAnsi="楷体" w:eastAsia="楷体" w:cs="楷体"/>
                <w:color w:val="auto"/>
                <w:spacing w:val="-12"/>
                <w:lang w:val="en-US" w:eastAsia="zh-CN"/>
              </w:rPr>
              <w:t>4</w:t>
            </w:r>
            <w:r>
              <w:rPr>
                <w:rFonts w:hint="eastAsia" w:ascii="楷体" w:hAnsi="楷体" w:eastAsia="楷体" w:cs="楷体"/>
                <w:color w:val="auto"/>
                <w:spacing w:val="-12"/>
              </w:rPr>
              <w:t>分，一年不超过</w:t>
            </w:r>
            <w:r>
              <w:rPr>
                <w:rFonts w:hint="eastAsia" w:ascii="楷体" w:hAnsi="楷体" w:eastAsia="楷体" w:cs="楷体"/>
                <w:color w:val="auto"/>
                <w:spacing w:val="-12"/>
                <w:lang w:val="en-US" w:eastAsia="zh-CN"/>
              </w:rPr>
              <w:t>8</w:t>
            </w:r>
            <w:r>
              <w:rPr>
                <w:rFonts w:hint="eastAsia" w:ascii="楷体" w:hAnsi="楷体" w:eastAsia="楷体" w:cs="楷体"/>
                <w:color w:val="auto"/>
                <w:spacing w:val="-12"/>
              </w:rPr>
              <w:t>分</w:t>
            </w:r>
            <w:r>
              <w:rPr>
                <w:rFonts w:hint="eastAsia" w:ascii="楷体" w:hAnsi="楷体" w:eastAsia="楷体" w:cs="楷体"/>
                <w:color w:val="auto"/>
                <w:spacing w:val="-11"/>
              </w:rPr>
              <w:t>。</w:t>
            </w:r>
          </w:p>
        </w:tc>
      </w:tr>
    </w:tbl>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textAlignment w:val="baseline"/>
        <w:outlineLvl w:val="6"/>
        <w:rPr>
          <w:rFonts w:hint="eastAsia" w:ascii="宋体" w:hAnsi="宋体" w:eastAsia="宋体" w:cs="宋体"/>
          <w:color w:val="auto"/>
          <w:sz w:val="24"/>
          <w:szCs w:val="24"/>
        </w:rPr>
      </w:pPr>
      <w:r>
        <w:rPr>
          <w:rFonts w:hint="eastAsia" w:ascii="宋体" w:hAnsi="宋体" w:eastAsia="宋体" w:cs="宋体"/>
          <w:color w:val="auto"/>
          <w:sz w:val="24"/>
          <w:szCs w:val="24"/>
        </w:rPr>
        <w:t>参与志愿服务计分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12</w:t>
      </w:r>
      <w:r>
        <w:rPr>
          <w:rFonts w:hint="eastAsia" w:ascii="仿宋" w:hAnsi="仿宋" w:eastAsia="仿宋" w:cs="仿宋"/>
          <w:bCs/>
          <w:color w:val="FF0000"/>
        </w:rPr>
        <w:t>分）</w:t>
      </w:r>
    </w:p>
    <w:tbl>
      <w:tblPr>
        <w:tblStyle w:val="18"/>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36"/>
        <w:gridCol w:w="3127"/>
        <w:gridCol w:w="9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953" w:type="pct"/>
            <w:vMerge w:val="restart"/>
            <w:tcBorders>
              <w:bottom w:val="nil"/>
            </w:tcBorders>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rPr>
              <w:t>类</w:t>
            </w:r>
            <w:r>
              <w:rPr>
                <w:rFonts w:hint="eastAsia" w:ascii="楷体" w:hAnsi="楷体" w:eastAsia="楷体" w:cs="楷体"/>
                <w:color w:val="auto"/>
                <w:spacing w:val="-1"/>
              </w:rPr>
              <w:t>别</w:t>
            </w:r>
          </w:p>
        </w:tc>
        <w:tc>
          <w:tcPr>
            <w:tcW w:w="1015" w:type="pct"/>
            <w:vMerge w:val="restart"/>
            <w:tcBorders>
              <w:bottom w:val="nil"/>
            </w:tcBorders>
            <w:vAlign w:val="center"/>
          </w:tcPr>
          <w:p>
            <w:pPr>
              <w:widowControl w:val="0"/>
              <w:kinsoku/>
              <w:autoSpaceDN/>
              <w:spacing w:before="68"/>
              <w:ind w:left="211"/>
              <w:jc w:val="center"/>
              <w:rPr>
                <w:rFonts w:ascii="楷体" w:hAnsi="楷体" w:eastAsia="楷体" w:cs="楷体"/>
                <w:color w:val="auto"/>
              </w:rPr>
            </w:pPr>
            <w:r>
              <w:rPr>
                <w:rFonts w:hint="eastAsia" w:ascii="楷体" w:hAnsi="楷体" w:eastAsia="楷体" w:cs="楷体"/>
                <w:color w:val="auto"/>
                <w:spacing w:val="-1"/>
              </w:rPr>
              <w:t>第二课堂志愿服务时长</w:t>
            </w:r>
          </w:p>
        </w:tc>
        <w:tc>
          <w:tcPr>
            <w:tcW w:w="3031" w:type="pct"/>
            <w:vMerge w:val="restart"/>
            <w:tcBorders>
              <w:bottom w:val="nil"/>
            </w:tcBorders>
            <w:vAlign w:val="center"/>
          </w:tcPr>
          <w:p>
            <w:pPr>
              <w:widowControl w:val="0"/>
              <w:kinsoku/>
              <w:autoSpaceDN/>
              <w:spacing w:before="68"/>
              <w:ind w:left="297"/>
              <w:jc w:val="center"/>
              <w:rPr>
                <w:rFonts w:ascii="楷体" w:hAnsi="楷体" w:eastAsia="楷体" w:cs="楷体"/>
                <w:color w:val="auto"/>
              </w:rPr>
            </w:pPr>
            <w:r>
              <w:rPr>
                <w:rFonts w:hint="eastAsia" w:ascii="楷体" w:hAnsi="楷体" w:eastAsia="楷体" w:cs="楷体"/>
                <w:color w:val="auto"/>
                <w:spacing w:val="-2"/>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953" w:type="pct"/>
            <w:vMerge w:val="continue"/>
            <w:tcBorders>
              <w:top w:val="nil"/>
              <w:bottom w:val="nil"/>
            </w:tcBorders>
            <w:vAlign w:val="center"/>
          </w:tcPr>
          <w:p>
            <w:pPr>
              <w:widowControl w:val="0"/>
              <w:kinsoku/>
              <w:autoSpaceDN/>
              <w:jc w:val="center"/>
              <w:rPr>
                <w:rFonts w:ascii="楷体" w:hAnsi="楷体" w:eastAsia="楷体" w:cs="楷体"/>
                <w:color w:val="auto"/>
              </w:rPr>
            </w:pPr>
          </w:p>
        </w:tc>
        <w:tc>
          <w:tcPr>
            <w:tcW w:w="1015" w:type="pct"/>
            <w:vMerge w:val="continue"/>
            <w:tcBorders>
              <w:top w:val="nil"/>
              <w:bottom w:val="nil"/>
            </w:tcBorders>
            <w:vAlign w:val="center"/>
          </w:tcPr>
          <w:p>
            <w:pPr>
              <w:widowControl w:val="0"/>
              <w:kinsoku/>
              <w:autoSpaceDN/>
              <w:jc w:val="center"/>
              <w:rPr>
                <w:rFonts w:ascii="楷体" w:hAnsi="楷体" w:eastAsia="楷体" w:cs="楷体"/>
                <w:color w:val="auto"/>
              </w:rPr>
            </w:pPr>
          </w:p>
        </w:tc>
        <w:tc>
          <w:tcPr>
            <w:tcW w:w="3031" w:type="pct"/>
            <w:vMerge w:val="continue"/>
            <w:tcBorders>
              <w:top w:val="nil"/>
              <w:bottom w:val="nil"/>
            </w:tcBorders>
            <w:vAlign w:val="center"/>
          </w:tcPr>
          <w:p>
            <w:pPr>
              <w:widowControl w:val="0"/>
              <w:kinsoku/>
              <w:autoSpaceDN/>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953" w:type="pct"/>
            <w:vMerge w:val="continue"/>
            <w:tcBorders>
              <w:top w:val="nil"/>
            </w:tcBorders>
            <w:vAlign w:val="center"/>
          </w:tcPr>
          <w:p>
            <w:pPr>
              <w:widowControl w:val="0"/>
              <w:kinsoku/>
              <w:autoSpaceDN/>
              <w:jc w:val="center"/>
              <w:rPr>
                <w:rFonts w:ascii="楷体" w:hAnsi="楷体" w:eastAsia="楷体" w:cs="楷体"/>
                <w:color w:val="auto"/>
              </w:rPr>
            </w:pPr>
          </w:p>
        </w:tc>
        <w:tc>
          <w:tcPr>
            <w:tcW w:w="1015" w:type="pct"/>
            <w:vMerge w:val="continue"/>
            <w:tcBorders>
              <w:top w:val="nil"/>
            </w:tcBorders>
            <w:vAlign w:val="center"/>
          </w:tcPr>
          <w:p>
            <w:pPr>
              <w:widowControl w:val="0"/>
              <w:kinsoku/>
              <w:autoSpaceDN/>
              <w:jc w:val="center"/>
              <w:rPr>
                <w:rFonts w:ascii="楷体" w:hAnsi="楷体" w:eastAsia="楷体" w:cs="楷体"/>
                <w:color w:val="auto"/>
              </w:rPr>
            </w:pPr>
          </w:p>
        </w:tc>
        <w:tc>
          <w:tcPr>
            <w:tcW w:w="3031" w:type="pct"/>
            <w:vMerge w:val="continue"/>
            <w:tcBorders>
              <w:top w:val="nil"/>
            </w:tcBorders>
            <w:vAlign w:val="center"/>
          </w:tcPr>
          <w:p>
            <w:pPr>
              <w:widowControl w:val="0"/>
              <w:kinsoku/>
              <w:autoSpaceDN/>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953" w:type="pct"/>
            <w:vAlign w:val="center"/>
          </w:tcPr>
          <w:p>
            <w:pPr>
              <w:widowControl w:val="0"/>
              <w:kinsoku/>
              <w:autoSpaceDN/>
              <w:spacing w:before="32"/>
              <w:jc w:val="center"/>
              <w:rPr>
                <w:rFonts w:ascii="楷体" w:hAnsi="楷体" w:eastAsia="楷体" w:cs="楷体"/>
                <w:color w:val="auto"/>
              </w:rPr>
            </w:pPr>
            <w:r>
              <w:rPr>
                <w:rFonts w:hint="eastAsia" w:ascii="楷体" w:hAnsi="楷体" w:eastAsia="楷体" w:cs="楷体"/>
                <w:color w:val="auto"/>
                <w:spacing w:val="-4"/>
              </w:rPr>
              <w:t>5小时 (含)以内</w:t>
            </w:r>
          </w:p>
        </w:tc>
        <w:tc>
          <w:tcPr>
            <w:tcW w:w="1015" w:type="pct"/>
            <w:vAlign w:val="center"/>
          </w:tcPr>
          <w:p>
            <w:pPr>
              <w:widowControl w:val="0"/>
              <w:kinsoku/>
              <w:autoSpaceDN/>
              <w:jc w:val="center"/>
              <w:rPr>
                <w:rFonts w:hint="eastAsia" w:ascii="楷体" w:hAnsi="楷体" w:eastAsia="楷体" w:cs="楷体"/>
                <w:color w:val="auto"/>
                <w:lang w:eastAsia="zh-CN"/>
              </w:rPr>
            </w:pPr>
            <w:r>
              <w:rPr>
                <w:rFonts w:hint="eastAsia" w:ascii="楷体" w:hAnsi="楷体" w:eastAsia="楷体" w:cs="楷体"/>
                <w:color w:val="auto"/>
                <w:spacing w:val="-4"/>
                <w:lang w:val="en-US" w:eastAsia="zh-CN"/>
              </w:rPr>
              <w:t>2</w:t>
            </w:r>
          </w:p>
        </w:tc>
        <w:tc>
          <w:tcPr>
            <w:tcW w:w="3031" w:type="pct"/>
            <w:vMerge w:val="restart"/>
            <w:vAlign w:val="center"/>
          </w:tcPr>
          <w:p>
            <w:pPr>
              <w:widowControl w:val="0"/>
              <w:kinsoku/>
              <w:autoSpaceDN/>
              <w:spacing w:before="70"/>
              <w:jc w:val="center"/>
              <w:rPr>
                <w:rFonts w:ascii="楷体" w:hAnsi="楷体" w:eastAsia="楷体" w:cs="楷体"/>
                <w:color w:val="auto"/>
              </w:rPr>
            </w:pPr>
            <w:r>
              <w:rPr>
                <w:rFonts w:hint="eastAsia" w:ascii="楷体" w:hAnsi="楷体" w:eastAsia="楷体" w:cs="楷体"/>
                <w:color w:val="auto"/>
                <w:spacing w:val="-8"/>
              </w:rPr>
              <w:t>志愿服务积分一个长学期不超过</w:t>
            </w:r>
            <w:r>
              <w:rPr>
                <w:rFonts w:hint="eastAsia" w:ascii="楷体" w:hAnsi="楷体" w:eastAsia="楷体" w:cs="楷体"/>
                <w:color w:val="auto"/>
                <w:spacing w:val="-8"/>
                <w:lang w:val="en-US" w:eastAsia="zh-CN"/>
              </w:rPr>
              <w:t>8</w:t>
            </w:r>
            <w:r>
              <w:rPr>
                <w:rFonts w:hint="eastAsia" w:ascii="楷体" w:hAnsi="楷体" w:eastAsia="楷体" w:cs="楷体"/>
                <w:color w:val="auto"/>
                <w:spacing w:val="-8"/>
              </w:rPr>
              <w:t>分，一年不</w:t>
            </w:r>
            <w:r>
              <w:rPr>
                <w:rFonts w:hint="eastAsia" w:ascii="楷体" w:hAnsi="楷体" w:eastAsia="楷体" w:cs="楷体"/>
                <w:color w:val="auto"/>
                <w:spacing w:val="-10"/>
              </w:rPr>
              <w:t>超</w:t>
            </w:r>
            <w:r>
              <w:rPr>
                <w:rFonts w:hint="eastAsia" w:ascii="楷体" w:hAnsi="楷体" w:eastAsia="楷体" w:cs="楷体"/>
                <w:color w:val="auto"/>
                <w:spacing w:val="-7"/>
              </w:rPr>
              <w:t>过</w:t>
            </w:r>
            <w:r>
              <w:rPr>
                <w:rFonts w:hint="eastAsia" w:ascii="楷体" w:hAnsi="楷体" w:eastAsia="楷体" w:cs="楷体"/>
                <w:color w:val="auto"/>
                <w:spacing w:val="-7"/>
                <w:lang w:val="en-US" w:eastAsia="zh-CN"/>
              </w:rPr>
              <w:t>12</w:t>
            </w:r>
            <w:r>
              <w:rPr>
                <w:rFonts w:hint="eastAsia" w:ascii="楷体" w:hAnsi="楷体" w:eastAsia="楷体" w:cs="楷体"/>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953" w:type="pct"/>
            <w:vAlign w:val="center"/>
          </w:tcPr>
          <w:p>
            <w:pPr>
              <w:widowControl w:val="0"/>
              <w:kinsoku/>
              <w:autoSpaceDN/>
              <w:spacing w:before="35"/>
              <w:jc w:val="center"/>
              <w:rPr>
                <w:rFonts w:ascii="楷体" w:hAnsi="楷体" w:eastAsia="楷体" w:cs="楷体"/>
                <w:color w:val="auto"/>
              </w:rPr>
            </w:pPr>
            <w:r>
              <w:rPr>
                <w:rFonts w:hint="eastAsia" w:ascii="楷体" w:hAnsi="楷体" w:eastAsia="楷体" w:cs="楷体"/>
                <w:color w:val="auto"/>
                <w:spacing w:val="-4"/>
              </w:rPr>
              <w:t>5-15 (含)小时</w:t>
            </w:r>
          </w:p>
        </w:tc>
        <w:tc>
          <w:tcPr>
            <w:tcW w:w="1015" w:type="pct"/>
            <w:vAlign w:val="center"/>
          </w:tcPr>
          <w:p>
            <w:pPr>
              <w:widowControl w:val="0"/>
              <w:kinsoku/>
              <w:autoSpaceDN/>
              <w:jc w:val="center"/>
              <w:rPr>
                <w:rFonts w:hint="default" w:ascii="楷体" w:hAnsi="楷体" w:eastAsia="楷体" w:cs="楷体"/>
                <w:color w:val="auto"/>
                <w:lang w:val="en-US" w:eastAsia="zh-CN"/>
              </w:rPr>
            </w:pPr>
            <w:r>
              <w:rPr>
                <w:rFonts w:hint="eastAsia" w:ascii="楷体" w:hAnsi="楷体" w:eastAsia="楷体" w:cs="楷体"/>
                <w:color w:val="auto"/>
                <w:lang w:val="en-US" w:eastAsia="zh-CN"/>
              </w:rPr>
              <w:t>4</w:t>
            </w:r>
          </w:p>
        </w:tc>
        <w:tc>
          <w:tcPr>
            <w:tcW w:w="3031" w:type="pct"/>
            <w:vMerge w:val="continue"/>
            <w:vAlign w:val="center"/>
          </w:tcPr>
          <w:p>
            <w:pPr>
              <w:widowControl w:val="0"/>
              <w:kinsoku/>
              <w:autoSpaceDN/>
              <w:spacing w:before="75"/>
              <w:ind w:left="673"/>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53" w:type="pct"/>
            <w:vAlign w:val="center"/>
          </w:tcPr>
          <w:p>
            <w:pPr>
              <w:widowControl w:val="0"/>
              <w:kinsoku/>
              <w:autoSpaceDN/>
              <w:spacing w:before="33"/>
              <w:jc w:val="center"/>
              <w:rPr>
                <w:rFonts w:ascii="楷体" w:hAnsi="楷体" w:eastAsia="楷体" w:cs="楷体"/>
                <w:color w:val="auto"/>
              </w:rPr>
            </w:pPr>
            <w:r>
              <w:rPr>
                <w:rFonts w:hint="eastAsia" w:ascii="楷体" w:hAnsi="楷体" w:eastAsia="楷体" w:cs="楷体"/>
                <w:color w:val="auto"/>
                <w:spacing w:val="-4"/>
              </w:rPr>
              <w:t>15-25 (含)小时</w:t>
            </w:r>
          </w:p>
        </w:tc>
        <w:tc>
          <w:tcPr>
            <w:tcW w:w="1015" w:type="pct"/>
            <w:vAlign w:val="center"/>
          </w:tcPr>
          <w:p>
            <w:pPr>
              <w:widowControl w:val="0"/>
              <w:kinsoku/>
              <w:autoSpaceDN/>
              <w:jc w:val="center"/>
              <w:rPr>
                <w:rFonts w:hint="eastAsia" w:ascii="楷体" w:hAnsi="楷体" w:eastAsia="楷体" w:cs="楷体"/>
                <w:color w:val="auto"/>
                <w:lang w:eastAsia="zh-CN"/>
              </w:rPr>
            </w:pPr>
            <w:r>
              <w:rPr>
                <w:rFonts w:hint="eastAsia" w:ascii="楷体" w:hAnsi="楷体" w:eastAsia="楷体" w:cs="楷体"/>
                <w:color w:val="auto"/>
                <w:spacing w:val="-4"/>
                <w:lang w:val="en-US" w:eastAsia="zh-CN"/>
              </w:rPr>
              <w:t>6</w:t>
            </w:r>
          </w:p>
        </w:tc>
        <w:tc>
          <w:tcPr>
            <w:tcW w:w="3031" w:type="pct"/>
            <w:vMerge w:val="continue"/>
            <w:vAlign w:val="center"/>
          </w:tcPr>
          <w:p>
            <w:pPr>
              <w:widowControl w:val="0"/>
              <w:kinsoku/>
              <w:autoSpaceDN/>
              <w:spacing w:before="75"/>
              <w:ind w:left="581"/>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53" w:type="pct"/>
            <w:vAlign w:val="center"/>
          </w:tcPr>
          <w:p>
            <w:pPr>
              <w:widowControl w:val="0"/>
              <w:kinsoku/>
              <w:autoSpaceDN/>
              <w:spacing w:before="33"/>
              <w:jc w:val="center"/>
              <w:rPr>
                <w:rFonts w:ascii="楷体" w:hAnsi="楷体" w:eastAsia="楷体" w:cs="楷体"/>
                <w:color w:val="auto"/>
                <w:spacing w:val="-1"/>
              </w:rPr>
            </w:pPr>
            <w:r>
              <w:rPr>
                <w:rFonts w:hint="eastAsia" w:ascii="楷体" w:hAnsi="楷体" w:eastAsia="楷体" w:cs="楷体"/>
                <w:color w:val="auto"/>
                <w:spacing w:val="-16"/>
              </w:rPr>
              <w:t>25-</w:t>
            </w:r>
            <w:r>
              <w:rPr>
                <w:rFonts w:hint="eastAsia" w:ascii="楷体" w:hAnsi="楷体" w:eastAsia="楷体" w:cs="楷体"/>
                <w:color w:val="auto"/>
                <w:spacing w:val="-14"/>
              </w:rPr>
              <w:t>40</w:t>
            </w:r>
            <w:r>
              <w:rPr>
                <w:rFonts w:hint="eastAsia" w:ascii="楷体" w:hAnsi="楷体" w:eastAsia="楷体" w:cs="楷体"/>
                <w:color w:val="auto"/>
                <w:spacing w:val="-8"/>
              </w:rPr>
              <w:t>(含)小时</w:t>
            </w:r>
          </w:p>
        </w:tc>
        <w:tc>
          <w:tcPr>
            <w:tcW w:w="1015" w:type="pct"/>
            <w:vAlign w:val="center"/>
          </w:tcPr>
          <w:p>
            <w:pPr>
              <w:widowControl w:val="0"/>
              <w:kinsoku/>
              <w:autoSpaceDN/>
              <w:jc w:val="center"/>
              <w:rPr>
                <w:rFonts w:hint="eastAsia" w:ascii="楷体" w:hAnsi="楷体" w:eastAsia="楷体" w:cs="楷体"/>
                <w:color w:val="auto"/>
                <w:lang w:eastAsia="zh-CN"/>
              </w:rPr>
            </w:pPr>
            <w:r>
              <w:rPr>
                <w:rFonts w:hint="eastAsia" w:ascii="楷体" w:hAnsi="楷体" w:eastAsia="楷体" w:cs="楷体"/>
                <w:color w:val="auto"/>
                <w:spacing w:val="-8"/>
                <w:lang w:val="en-US" w:eastAsia="zh-CN"/>
              </w:rPr>
              <w:t>8</w:t>
            </w:r>
          </w:p>
        </w:tc>
        <w:tc>
          <w:tcPr>
            <w:tcW w:w="3031" w:type="pct"/>
            <w:vMerge w:val="continue"/>
            <w:vAlign w:val="center"/>
          </w:tcPr>
          <w:p>
            <w:pPr>
              <w:widowControl w:val="0"/>
              <w:kinsoku/>
              <w:autoSpaceDN/>
              <w:spacing w:before="75"/>
              <w:ind w:left="581"/>
              <w:jc w:val="center"/>
              <w:rPr>
                <w:rFonts w:ascii="楷体" w:hAnsi="楷体" w:eastAsia="楷体" w:cs="楷体"/>
                <w:color w:val="auto"/>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53" w:type="pct"/>
            <w:vAlign w:val="center"/>
          </w:tcPr>
          <w:p>
            <w:pPr>
              <w:widowControl w:val="0"/>
              <w:kinsoku/>
              <w:autoSpaceDN/>
              <w:spacing w:before="33"/>
              <w:jc w:val="center"/>
              <w:rPr>
                <w:rFonts w:ascii="楷体" w:hAnsi="楷体" w:eastAsia="楷体" w:cs="楷体"/>
                <w:color w:val="auto"/>
                <w:spacing w:val="-8"/>
              </w:rPr>
            </w:pPr>
            <w:r>
              <w:rPr>
                <w:rFonts w:hint="eastAsia" w:ascii="楷体" w:hAnsi="楷体" w:eastAsia="楷体" w:cs="楷体"/>
                <w:color w:val="auto"/>
                <w:spacing w:val="-8"/>
              </w:rPr>
              <w:t>40-60(含)小时</w:t>
            </w:r>
          </w:p>
        </w:tc>
        <w:tc>
          <w:tcPr>
            <w:tcW w:w="1015" w:type="pct"/>
            <w:vAlign w:val="center"/>
          </w:tcPr>
          <w:p>
            <w:pPr>
              <w:widowControl w:val="0"/>
              <w:kinsoku/>
              <w:autoSpaceDN/>
              <w:jc w:val="center"/>
              <w:rPr>
                <w:rFonts w:hint="default" w:ascii="楷体" w:hAnsi="楷体" w:eastAsia="楷体" w:cs="楷体"/>
                <w:color w:val="auto"/>
                <w:spacing w:val="-8"/>
                <w:lang w:val="en-US" w:eastAsia="zh-CN"/>
              </w:rPr>
            </w:pPr>
            <w:r>
              <w:rPr>
                <w:rFonts w:hint="eastAsia" w:ascii="楷体" w:hAnsi="楷体" w:eastAsia="楷体" w:cs="楷体"/>
                <w:color w:val="auto"/>
                <w:spacing w:val="-8"/>
                <w:lang w:val="en-US" w:eastAsia="zh-CN"/>
              </w:rPr>
              <w:t>10</w:t>
            </w:r>
          </w:p>
        </w:tc>
        <w:tc>
          <w:tcPr>
            <w:tcW w:w="3031" w:type="pct"/>
            <w:vMerge w:val="continue"/>
            <w:vAlign w:val="center"/>
          </w:tcPr>
          <w:p>
            <w:pPr>
              <w:widowControl w:val="0"/>
              <w:kinsoku/>
              <w:autoSpaceDN/>
              <w:spacing w:before="75"/>
              <w:ind w:left="581"/>
              <w:jc w:val="center"/>
              <w:rPr>
                <w:rFonts w:ascii="楷体" w:hAnsi="楷体" w:eastAsia="楷体" w:cs="楷体"/>
                <w:color w:val="auto"/>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953" w:type="pct"/>
            <w:vAlign w:val="center"/>
          </w:tcPr>
          <w:p>
            <w:pPr>
              <w:widowControl w:val="0"/>
              <w:kinsoku/>
              <w:autoSpaceDN/>
              <w:spacing w:before="33"/>
              <w:jc w:val="center"/>
              <w:rPr>
                <w:rFonts w:ascii="楷体" w:hAnsi="楷体" w:eastAsia="楷体" w:cs="楷体"/>
                <w:color w:val="auto"/>
                <w:spacing w:val="-8"/>
              </w:rPr>
            </w:pPr>
            <w:r>
              <w:rPr>
                <w:rFonts w:hint="eastAsia" w:ascii="楷体" w:hAnsi="楷体" w:eastAsia="楷体" w:cs="楷体"/>
                <w:color w:val="auto"/>
                <w:spacing w:val="-8"/>
              </w:rPr>
              <w:t>60小时以上</w:t>
            </w:r>
          </w:p>
        </w:tc>
        <w:tc>
          <w:tcPr>
            <w:tcW w:w="1015" w:type="pct"/>
            <w:vAlign w:val="center"/>
          </w:tcPr>
          <w:p>
            <w:pPr>
              <w:widowControl w:val="0"/>
              <w:kinsoku/>
              <w:autoSpaceDN/>
              <w:jc w:val="center"/>
              <w:rPr>
                <w:rFonts w:hint="default" w:ascii="楷体" w:hAnsi="楷体" w:eastAsia="楷体" w:cs="楷体"/>
                <w:color w:val="auto"/>
                <w:spacing w:val="-8"/>
                <w:lang w:val="en-US" w:eastAsia="zh-CN"/>
              </w:rPr>
            </w:pPr>
            <w:r>
              <w:rPr>
                <w:rFonts w:hint="eastAsia" w:ascii="楷体" w:hAnsi="楷体" w:eastAsia="楷体" w:cs="楷体"/>
                <w:color w:val="auto"/>
                <w:spacing w:val="-8"/>
                <w:lang w:val="en-US" w:eastAsia="zh-CN"/>
              </w:rPr>
              <w:t>12</w:t>
            </w:r>
          </w:p>
        </w:tc>
        <w:tc>
          <w:tcPr>
            <w:tcW w:w="3031" w:type="pct"/>
            <w:vMerge w:val="continue"/>
            <w:vAlign w:val="center"/>
          </w:tcPr>
          <w:p>
            <w:pPr>
              <w:widowControl w:val="0"/>
              <w:kinsoku/>
              <w:autoSpaceDN/>
              <w:spacing w:before="75"/>
              <w:ind w:left="581"/>
              <w:jc w:val="center"/>
              <w:rPr>
                <w:rFonts w:ascii="楷体" w:hAnsi="楷体" w:eastAsia="楷体" w:cs="楷体"/>
                <w:color w:val="auto"/>
                <w:spacing w:val="-1"/>
              </w:rPr>
            </w:pPr>
          </w:p>
        </w:tc>
      </w:tr>
    </w:tbl>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textAlignment w:val="baseline"/>
        <w:outlineLvl w:val="6"/>
        <w:rPr>
          <w:rFonts w:ascii="宋体" w:hAnsi="宋体" w:eastAsia="宋体" w:cs="宋体"/>
          <w:color w:val="auto"/>
          <w:sz w:val="24"/>
          <w:szCs w:val="24"/>
        </w:rPr>
      </w:pPr>
      <w:r>
        <w:rPr>
          <w:rFonts w:hint="eastAsia" w:ascii="宋体" w:hAnsi="宋体" w:eastAsia="宋体" w:cs="宋体"/>
          <w:color w:val="auto"/>
          <w:sz w:val="24"/>
          <w:szCs w:val="24"/>
          <w:lang w:val="en-US" w:eastAsia="zh-CN"/>
        </w:rPr>
        <w:t>参与社会活动获得荣誉及奖励计分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40</w:t>
      </w:r>
      <w:r>
        <w:rPr>
          <w:rFonts w:hint="eastAsia" w:ascii="仿宋" w:hAnsi="仿宋" w:eastAsia="仿宋" w:cs="仿宋"/>
          <w:bCs/>
          <w:color w:val="FF0000"/>
        </w:rPr>
        <w:t>分）</w:t>
      </w:r>
    </w:p>
    <w:tbl>
      <w:tblPr>
        <w:tblStyle w:val="18"/>
        <w:tblW w:w="15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8"/>
        <w:gridCol w:w="658"/>
        <w:gridCol w:w="2528"/>
        <w:gridCol w:w="1029"/>
        <w:gridCol w:w="1243"/>
        <w:gridCol w:w="1282"/>
        <w:gridCol w:w="890"/>
        <w:gridCol w:w="7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58" w:type="dxa"/>
            <w:tcBorders>
              <w:bottom w:val="nil"/>
            </w:tcBorders>
            <w:vAlign w:val="center"/>
          </w:tcPr>
          <w:p>
            <w:pPr>
              <w:widowControl w:val="0"/>
              <w:kinsoku/>
              <w:autoSpaceDN/>
              <w:spacing w:before="68"/>
              <w:jc w:val="center"/>
              <w:rPr>
                <w:rFonts w:hint="eastAsia" w:ascii="楷体" w:hAnsi="楷体" w:eastAsia="楷体" w:cs="楷体"/>
                <w:color w:val="auto"/>
                <w:spacing w:val="-2"/>
                <w:sz w:val="21"/>
                <w:szCs w:val="21"/>
              </w:rPr>
            </w:pPr>
          </w:p>
        </w:tc>
        <w:tc>
          <w:tcPr>
            <w:tcW w:w="3186" w:type="dxa"/>
            <w:gridSpan w:val="2"/>
            <w:vMerge w:val="restart"/>
            <w:tcBorders>
              <w:bottom w:val="nil"/>
            </w:tcBorders>
            <w:vAlign w:val="center"/>
          </w:tcPr>
          <w:p>
            <w:pPr>
              <w:widowControl w:val="0"/>
              <w:kinsoku/>
              <w:autoSpaceDN/>
              <w:spacing w:before="68"/>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等级</w:t>
            </w:r>
          </w:p>
        </w:tc>
        <w:tc>
          <w:tcPr>
            <w:tcW w:w="3554" w:type="dxa"/>
            <w:gridSpan w:val="3"/>
            <w:vAlign w:val="center"/>
          </w:tcPr>
          <w:p>
            <w:pPr>
              <w:widowControl w:val="0"/>
              <w:kinsoku/>
              <w:autoSpaceDN/>
              <w:spacing w:before="33"/>
              <w:ind w:left="396"/>
              <w:jc w:val="center"/>
              <w:rPr>
                <w:rFonts w:hint="eastAsia" w:ascii="楷体" w:hAnsi="楷体" w:eastAsia="楷体" w:cs="楷体"/>
                <w:color w:val="auto"/>
                <w:sz w:val="21"/>
                <w:szCs w:val="21"/>
              </w:rPr>
            </w:pPr>
            <w:r>
              <w:rPr>
                <w:rFonts w:hint="eastAsia" w:ascii="楷体" w:hAnsi="楷体" w:eastAsia="楷体" w:cs="楷体"/>
                <w:color w:val="auto"/>
                <w:spacing w:val="-1"/>
                <w:sz w:val="21"/>
                <w:szCs w:val="21"/>
              </w:rPr>
              <w:t>集体</w:t>
            </w:r>
          </w:p>
        </w:tc>
        <w:tc>
          <w:tcPr>
            <w:tcW w:w="890" w:type="dxa"/>
            <w:vMerge w:val="restart"/>
            <w:tcBorders>
              <w:bottom w:val="nil"/>
            </w:tcBorders>
            <w:vAlign w:val="center"/>
          </w:tcPr>
          <w:p>
            <w:pPr>
              <w:widowControl w:val="0"/>
              <w:kinsoku/>
              <w:autoSpaceDN/>
              <w:spacing w:before="68"/>
              <w:ind w:left="211"/>
              <w:jc w:val="both"/>
              <w:rPr>
                <w:rFonts w:hint="eastAsia" w:ascii="楷体" w:hAnsi="楷体" w:eastAsia="楷体" w:cs="楷体"/>
                <w:color w:val="auto"/>
                <w:sz w:val="21"/>
                <w:szCs w:val="21"/>
              </w:rPr>
            </w:pPr>
            <w:r>
              <w:rPr>
                <w:rFonts w:hint="eastAsia" w:ascii="楷体" w:hAnsi="楷体" w:eastAsia="楷体" w:cs="楷体"/>
                <w:color w:val="auto"/>
                <w:spacing w:val="-1"/>
                <w:sz w:val="21"/>
                <w:szCs w:val="21"/>
              </w:rPr>
              <w:t>个人</w:t>
            </w:r>
          </w:p>
        </w:tc>
        <w:tc>
          <w:tcPr>
            <w:tcW w:w="7016" w:type="dxa"/>
            <w:tcBorders>
              <w:bottom w:val="nil"/>
            </w:tcBorders>
            <w:vAlign w:val="center"/>
          </w:tcPr>
          <w:p>
            <w:pPr>
              <w:widowControl w:val="0"/>
              <w:kinsoku/>
              <w:autoSpaceDN/>
              <w:spacing w:before="68"/>
              <w:ind w:left="211"/>
              <w:jc w:val="center"/>
              <w:rPr>
                <w:rFonts w:hint="eastAsia" w:ascii="楷体" w:hAnsi="楷体" w:eastAsia="楷体" w:cs="楷体"/>
                <w:color w:val="auto"/>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758" w:type="dxa"/>
            <w:tcBorders>
              <w:top w:val="nil"/>
              <w:bottom w:val="nil"/>
            </w:tcBorders>
            <w:vAlign w:val="center"/>
          </w:tcPr>
          <w:p>
            <w:pPr>
              <w:widowControl w:val="0"/>
              <w:kinsoku/>
              <w:autoSpaceDN/>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类别</w:t>
            </w:r>
          </w:p>
        </w:tc>
        <w:tc>
          <w:tcPr>
            <w:tcW w:w="3186" w:type="dxa"/>
            <w:gridSpan w:val="2"/>
            <w:vMerge w:val="continue"/>
            <w:tcBorders>
              <w:top w:val="nil"/>
              <w:bottom w:val="nil"/>
            </w:tcBorders>
            <w:vAlign w:val="center"/>
          </w:tcPr>
          <w:p>
            <w:pPr>
              <w:widowControl w:val="0"/>
              <w:kinsoku/>
              <w:autoSpaceDN/>
              <w:jc w:val="center"/>
              <w:rPr>
                <w:rFonts w:hint="eastAsia" w:ascii="楷体" w:hAnsi="楷体" w:eastAsia="楷体" w:cs="楷体"/>
                <w:color w:val="auto"/>
                <w:sz w:val="21"/>
                <w:szCs w:val="21"/>
              </w:rPr>
            </w:pPr>
          </w:p>
        </w:tc>
        <w:tc>
          <w:tcPr>
            <w:tcW w:w="1029" w:type="dxa"/>
            <w:vMerge w:val="restart"/>
            <w:vAlign w:val="center"/>
          </w:tcPr>
          <w:p>
            <w:pPr>
              <w:widowControl w:val="0"/>
              <w:kinsoku/>
              <w:autoSpaceDN/>
              <w:spacing w:before="34"/>
              <w:ind w:left="251" w:right="130" w:hanging="111"/>
              <w:jc w:val="center"/>
              <w:rPr>
                <w:rFonts w:hint="eastAsia" w:ascii="楷体" w:hAnsi="楷体" w:eastAsia="楷体" w:cs="楷体"/>
                <w:color w:val="auto"/>
                <w:sz w:val="21"/>
                <w:szCs w:val="21"/>
              </w:rPr>
            </w:pPr>
            <w:r>
              <w:rPr>
                <w:rFonts w:hint="eastAsia" w:ascii="楷体" w:hAnsi="楷体" w:eastAsia="楷体" w:cs="楷体"/>
                <w:color w:val="auto"/>
                <w:spacing w:val="-2"/>
                <w:sz w:val="21"/>
                <w:szCs w:val="21"/>
              </w:rPr>
              <w:t>负</w:t>
            </w:r>
            <w:r>
              <w:rPr>
                <w:rFonts w:hint="eastAsia" w:ascii="楷体" w:hAnsi="楷体" w:eastAsia="楷体" w:cs="楷体"/>
                <w:color w:val="auto"/>
                <w:spacing w:val="-4"/>
                <w:sz w:val="21"/>
                <w:szCs w:val="21"/>
              </w:rPr>
              <w:t>责</w:t>
            </w:r>
            <w:r>
              <w:rPr>
                <w:rFonts w:hint="eastAsia" w:ascii="楷体" w:hAnsi="楷体" w:eastAsia="楷体" w:cs="楷体"/>
                <w:color w:val="auto"/>
                <w:spacing w:val="-3"/>
                <w:sz w:val="21"/>
                <w:szCs w:val="21"/>
              </w:rPr>
              <w:t>人</w:t>
            </w:r>
          </w:p>
        </w:tc>
        <w:tc>
          <w:tcPr>
            <w:tcW w:w="1243" w:type="dxa"/>
            <w:vMerge w:val="restart"/>
            <w:vAlign w:val="center"/>
          </w:tcPr>
          <w:p>
            <w:pPr>
              <w:widowControl w:val="0"/>
              <w:kinsoku/>
              <w:autoSpaceDN/>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主要参与人</w:t>
            </w:r>
          </w:p>
        </w:tc>
        <w:tc>
          <w:tcPr>
            <w:tcW w:w="1282" w:type="dxa"/>
            <w:vMerge w:val="restart"/>
            <w:tcBorders>
              <w:bottom w:val="nil"/>
            </w:tcBorders>
            <w:vAlign w:val="center"/>
          </w:tcPr>
          <w:p>
            <w:pPr>
              <w:widowControl w:val="0"/>
              <w:kinsoku/>
              <w:autoSpaceDN/>
              <w:spacing w:before="34"/>
              <w:ind w:left="156"/>
              <w:jc w:val="both"/>
              <w:rPr>
                <w:rFonts w:hint="eastAsia" w:ascii="楷体" w:hAnsi="楷体" w:eastAsia="楷体" w:cs="楷体"/>
                <w:color w:val="auto"/>
                <w:sz w:val="21"/>
                <w:szCs w:val="21"/>
                <w:lang w:val="en-US" w:eastAsia="zh-CN"/>
              </w:rPr>
            </w:pPr>
            <w:r>
              <w:rPr>
                <w:rFonts w:hint="eastAsia" w:ascii="楷体" w:hAnsi="楷体" w:eastAsia="楷体" w:cs="楷体"/>
                <w:color w:val="auto"/>
                <w:spacing w:val="-2"/>
                <w:sz w:val="21"/>
                <w:szCs w:val="21"/>
              </w:rPr>
              <w:t>其他</w:t>
            </w:r>
            <w:r>
              <w:rPr>
                <w:rFonts w:hint="eastAsia" w:ascii="楷体" w:hAnsi="楷体" w:eastAsia="楷体" w:cs="楷体"/>
                <w:color w:val="auto"/>
                <w:spacing w:val="-2"/>
                <w:sz w:val="21"/>
                <w:szCs w:val="21"/>
                <w:lang w:val="en-US" w:eastAsia="zh-CN"/>
              </w:rPr>
              <w:t>参与人</w:t>
            </w:r>
          </w:p>
        </w:tc>
        <w:tc>
          <w:tcPr>
            <w:tcW w:w="890" w:type="dxa"/>
            <w:vMerge w:val="continue"/>
            <w:tcBorders>
              <w:top w:val="nil"/>
              <w:bottom w:val="nil"/>
            </w:tcBorders>
            <w:vAlign w:val="center"/>
          </w:tcPr>
          <w:p>
            <w:pPr>
              <w:widowControl w:val="0"/>
              <w:kinsoku/>
              <w:autoSpaceDN/>
              <w:jc w:val="center"/>
              <w:rPr>
                <w:rFonts w:hint="eastAsia" w:ascii="楷体" w:hAnsi="楷体" w:eastAsia="楷体" w:cs="楷体"/>
                <w:color w:val="auto"/>
                <w:sz w:val="21"/>
                <w:szCs w:val="21"/>
              </w:rPr>
            </w:pPr>
          </w:p>
        </w:tc>
        <w:tc>
          <w:tcPr>
            <w:tcW w:w="7016" w:type="dxa"/>
            <w:tcBorders>
              <w:top w:val="nil"/>
              <w:bottom w:val="nil"/>
            </w:tcBorders>
            <w:vAlign w:val="center"/>
          </w:tcPr>
          <w:p>
            <w:pPr>
              <w:widowControl w:val="0"/>
              <w:kinsoku/>
              <w:autoSpaceDN/>
              <w:jc w:val="center"/>
              <w:rPr>
                <w:rFonts w:hint="eastAsia" w:ascii="楷体" w:hAnsi="楷体" w:eastAsia="楷体" w:cs="楷体"/>
                <w:color w:val="auto"/>
                <w:sz w:val="21"/>
                <w:szCs w:val="21"/>
              </w:rPr>
            </w:pPr>
            <w:r>
              <w:rPr>
                <w:rFonts w:hint="eastAsia" w:ascii="楷体" w:hAnsi="楷体" w:eastAsia="楷体" w:cs="楷体"/>
                <w:color w:val="auto"/>
                <w:sz w:val="21"/>
                <w:szCs w:val="2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jc w:val="center"/>
        </w:trPr>
        <w:tc>
          <w:tcPr>
            <w:tcW w:w="758" w:type="dxa"/>
            <w:tcBorders>
              <w:top w:val="nil"/>
            </w:tcBorders>
            <w:vAlign w:val="center"/>
          </w:tcPr>
          <w:p>
            <w:pPr>
              <w:widowControl w:val="0"/>
              <w:kinsoku/>
              <w:autoSpaceDN/>
              <w:jc w:val="center"/>
              <w:rPr>
                <w:rFonts w:hint="eastAsia" w:ascii="楷体" w:hAnsi="楷体" w:eastAsia="楷体" w:cs="楷体"/>
                <w:color w:val="auto"/>
                <w:sz w:val="21"/>
                <w:szCs w:val="21"/>
              </w:rPr>
            </w:pPr>
          </w:p>
        </w:tc>
        <w:tc>
          <w:tcPr>
            <w:tcW w:w="3186" w:type="dxa"/>
            <w:gridSpan w:val="2"/>
            <w:vMerge w:val="continue"/>
            <w:tcBorders>
              <w:top w:val="nil"/>
            </w:tcBorders>
            <w:vAlign w:val="center"/>
          </w:tcPr>
          <w:p>
            <w:pPr>
              <w:widowControl w:val="0"/>
              <w:kinsoku/>
              <w:autoSpaceDN/>
              <w:jc w:val="center"/>
              <w:rPr>
                <w:rFonts w:hint="eastAsia" w:ascii="楷体" w:hAnsi="楷体" w:eastAsia="楷体" w:cs="楷体"/>
                <w:color w:val="auto"/>
                <w:sz w:val="21"/>
                <w:szCs w:val="21"/>
              </w:rPr>
            </w:pPr>
          </w:p>
        </w:tc>
        <w:tc>
          <w:tcPr>
            <w:tcW w:w="1029" w:type="dxa"/>
            <w:vMerge w:val="continue"/>
            <w:vAlign w:val="center"/>
          </w:tcPr>
          <w:p>
            <w:pPr>
              <w:widowControl w:val="0"/>
              <w:kinsoku/>
              <w:autoSpaceDN/>
              <w:jc w:val="center"/>
              <w:rPr>
                <w:rFonts w:hint="eastAsia" w:ascii="楷体" w:hAnsi="楷体" w:eastAsia="楷体" w:cs="楷体"/>
                <w:color w:val="auto"/>
                <w:sz w:val="21"/>
                <w:szCs w:val="21"/>
              </w:rPr>
            </w:pPr>
          </w:p>
        </w:tc>
        <w:tc>
          <w:tcPr>
            <w:tcW w:w="1243" w:type="dxa"/>
            <w:vMerge w:val="continue"/>
            <w:vAlign w:val="center"/>
          </w:tcPr>
          <w:p>
            <w:pPr>
              <w:widowControl w:val="0"/>
              <w:kinsoku/>
              <w:autoSpaceDN/>
              <w:jc w:val="both"/>
              <w:rPr>
                <w:rFonts w:hint="eastAsia" w:ascii="楷体" w:hAnsi="楷体" w:eastAsia="楷体" w:cs="楷体"/>
                <w:color w:val="auto"/>
                <w:sz w:val="21"/>
                <w:szCs w:val="21"/>
                <w:lang w:val="en-US" w:eastAsia="zh-CN"/>
              </w:rPr>
            </w:pPr>
          </w:p>
        </w:tc>
        <w:tc>
          <w:tcPr>
            <w:tcW w:w="1282" w:type="dxa"/>
            <w:vMerge w:val="continue"/>
            <w:tcBorders>
              <w:top w:val="nil"/>
            </w:tcBorders>
            <w:vAlign w:val="center"/>
          </w:tcPr>
          <w:p>
            <w:pPr>
              <w:widowControl w:val="0"/>
              <w:kinsoku/>
              <w:autoSpaceDN/>
              <w:jc w:val="center"/>
              <w:rPr>
                <w:rFonts w:hint="eastAsia" w:ascii="楷体" w:hAnsi="楷体" w:eastAsia="楷体" w:cs="楷体"/>
                <w:color w:val="auto"/>
                <w:sz w:val="21"/>
                <w:szCs w:val="21"/>
              </w:rPr>
            </w:pPr>
          </w:p>
        </w:tc>
        <w:tc>
          <w:tcPr>
            <w:tcW w:w="890" w:type="dxa"/>
            <w:vMerge w:val="continue"/>
            <w:tcBorders>
              <w:top w:val="nil"/>
            </w:tcBorders>
            <w:vAlign w:val="center"/>
          </w:tcPr>
          <w:p>
            <w:pPr>
              <w:widowControl w:val="0"/>
              <w:kinsoku/>
              <w:autoSpaceDN/>
              <w:jc w:val="center"/>
              <w:rPr>
                <w:rFonts w:hint="eastAsia" w:ascii="楷体" w:hAnsi="楷体" w:eastAsia="楷体" w:cs="楷体"/>
                <w:color w:val="auto"/>
                <w:sz w:val="21"/>
                <w:szCs w:val="21"/>
              </w:rPr>
            </w:pPr>
          </w:p>
        </w:tc>
        <w:tc>
          <w:tcPr>
            <w:tcW w:w="7016" w:type="dxa"/>
            <w:tcBorders>
              <w:top w:val="nil"/>
            </w:tcBorders>
            <w:vAlign w:val="center"/>
          </w:tcPr>
          <w:p>
            <w:pPr>
              <w:widowControl w:val="0"/>
              <w:kinsoku/>
              <w:autoSpaceDN/>
              <w:jc w:val="center"/>
              <w:rPr>
                <w:rFonts w:hint="eastAsia" w:ascii="楷体" w:hAnsi="楷体" w:eastAsia="楷体" w:cs="楷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758" w:type="dxa"/>
            <w:vMerge w:val="restart"/>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奖励</w:t>
            </w:r>
          </w:p>
        </w:tc>
        <w:tc>
          <w:tcPr>
            <w:tcW w:w="658" w:type="dxa"/>
            <w:vAlign w:val="center"/>
          </w:tcPr>
          <w:p>
            <w:pPr>
              <w:widowControl w:val="0"/>
              <w:kinsoku/>
              <w:autoSpaceDN/>
              <w:spacing w:before="29"/>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1</w:t>
            </w:r>
          </w:p>
        </w:tc>
        <w:tc>
          <w:tcPr>
            <w:tcW w:w="2528" w:type="dxa"/>
            <w:vAlign w:val="center"/>
          </w:tcPr>
          <w:p>
            <w:pPr>
              <w:widowControl w:val="0"/>
              <w:kinsoku/>
              <w:autoSpaceDN/>
              <w:spacing w:before="29"/>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rPr>
              <w:t>国家一</w:t>
            </w:r>
            <w:r>
              <w:rPr>
                <w:rFonts w:hint="eastAsia" w:ascii="楷体" w:hAnsi="楷体" w:eastAsia="楷体" w:cs="楷体"/>
                <w:color w:val="auto"/>
                <w:spacing w:val="-2"/>
                <w:sz w:val="21"/>
                <w:szCs w:val="21"/>
              </w:rPr>
              <w:t>等奖或前三名以上</w:t>
            </w:r>
          </w:p>
        </w:tc>
        <w:tc>
          <w:tcPr>
            <w:tcW w:w="1029" w:type="dxa"/>
            <w:vAlign w:val="center"/>
          </w:tcPr>
          <w:p>
            <w:pPr>
              <w:widowControl w:val="0"/>
              <w:kinsoku/>
              <w:autoSpaceDN/>
              <w:spacing w:before="68"/>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3"/>
                <w:sz w:val="21"/>
                <w:szCs w:val="21"/>
                <w:lang w:val="en-US" w:eastAsia="zh-CN"/>
              </w:rPr>
              <w:t>40</w:t>
            </w:r>
          </w:p>
        </w:tc>
        <w:tc>
          <w:tcPr>
            <w:tcW w:w="1243" w:type="dxa"/>
            <w:vAlign w:val="center"/>
          </w:tcPr>
          <w:p>
            <w:pPr>
              <w:widowControl w:val="0"/>
              <w:kinsoku/>
              <w:autoSpaceDN/>
              <w:spacing w:before="70"/>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28</w:t>
            </w:r>
          </w:p>
        </w:tc>
        <w:tc>
          <w:tcPr>
            <w:tcW w:w="1282" w:type="dxa"/>
            <w:vAlign w:val="center"/>
          </w:tcPr>
          <w:p>
            <w:pPr>
              <w:widowControl w:val="0"/>
              <w:kinsoku/>
              <w:autoSpaceDN/>
              <w:spacing w:before="68"/>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20</w:t>
            </w:r>
          </w:p>
        </w:tc>
        <w:tc>
          <w:tcPr>
            <w:tcW w:w="890" w:type="dxa"/>
            <w:vAlign w:val="center"/>
          </w:tcPr>
          <w:p>
            <w:pPr>
              <w:widowControl w:val="0"/>
              <w:kinsoku/>
              <w:autoSpaceDN/>
              <w:spacing w:before="68"/>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3"/>
                <w:sz w:val="21"/>
                <w:szCs w:val="21"/>
                <w:lang w:val="en-US" w:eastAsia="zh-CN"/>
              </w:rPr>
              <w:t>40</w:t>
            </w:r>
          </w:p>
        </w:tc>
        <w:tc>
          <w:tcPr>
            <w:tcW w:w="7016" w:type="dxa"/>
            <w:vMerge w:val="restart"/>
            <w:vAlign w:val="top"/>
          </w:tcPr>
          <w:p>
            <w:pPr>
              <w:widowControl w:val="0"/>
              <w:numPr>
                <w:ilvl w:val="0"/>
                <w:numId w:val="5"/>
              </w:numPr>
              <w:kinsoku/>
              <w:autoSpaceDN/>
              <w:jc w:val="both"/>
              <w:rPr>
                <w:rFonts w:hint="eastAsia" w:ascii="楷体" w:hAnsi="楷体" w:eastAsia="楷体" w:cs="楷体"/>
                <w:color w:val="auto"/>
                <w:spacing w:val="2"/>
                <w:sz w:val="21"/>
                <w:szCs w:val="21"/>
              </w:rPr>
            </w:pPr>
            <w:r>
              <w:rPr>
                <w:rFonts w:hint="eastAsia" w:ascii="楷体" w:hAnsi="楷体" w:eastAsia="楷体" w:cs="楷体"/>
                <w:color w:val="auto"/>
                <w:spacing w:val="-1"/>
                <w:sz w:val="21"/>
                <w:szCs w:val="21"/>
              </w:rPr>
              <w:t>各级奖励指教育部、团中央等上级单位</w:t>
            </w:r>
            <w:r>
              <w:rPr>
                <w:rFonts w:hint="eastAsia" w:ascii="楷体" w:hAnsi="楷体" w:eastAsia="楷体" w:cs="楷体"/>
                <w:color w:val="auto"/>
                <w:sz w:val="21"/>
                <w:szCs w:val="21"/>
              </w:rPr>
              <w:t>或学校相关部门、人文学院正式举办的各类主题教育、文体活动、竞争性评比、非学科类竞赛等，如党</w:t>
            </w:r>
            <w:r>
              <w:rPr>
                <w:rFonts w:hint="eastAsia" w:ascii="楷体" w:hAnsi="楷体" w:eastAsia="楷体" w:cs="楷体"/>
                <w:color w:val="auto"/>
                <w:spacing w:val="-4"/>
                <w:sz w:val="21"/>
                <w:szCs w:val="21"/>
              </w:rPr>
              <w:t>日/团日活动</w:t>
            </w:r>
            <w:r>
              <w:rPr>
                <w:rFonts w:hint="eastAsia" w:ascii="楷体" w:hAnsi="楷体" w:eastAsia="楷体" w:cs="楷体"/>
                <w:color w:val="auto"/>
                <w:spacing w:val="-2"/>
                <w:sz w:val="21"/>
                <w:szCs w:val="21"/>
              </w:rPr>
              <w:t>/社会实践评比、党史国情/校史校情知识竞赛、职业规划大赛、模拟面试大赛、简历大赛、校运会、院运会、院系杯、辩论赛等。</w:t>
            </w:r>
          </w:p>
          <w:p>
            <w:pPr>
              <w:widowControl w:val="0"/>
              <w:numPr>
                <w:ilvl w:val="0"/>
                <w:numId w:val="5"/>
              </w:numPr>
              <w:kinsoku/>
              <w:autoSpaceDN/>
              <w:jc w:val="both"/>
              <w:rPr>
                <w:rFonts w:hint="eastAsia" w:ascii="楷体" w:hAnsi="楷体" w:eastAsia="楷体" w:cs="楷体"/>
                <w:color w:val="auto"/>
                <w:spacing w:val="2"/>
                <w:sz w:val="21"/>
                <w:szCs w:val="21"/>
              </w:rPr>
            </w:pPr>
            <w:r>
              <w:rPr>
                <w:rFonts w:hint="eastAsia" w:ascii="楷体" w:hAnsi="楷体" w:eastAsia="楷体" w:cs="楷体"/>
                <w:color w:val="auto"/>
                <w:spacing w:val="-4"/>
                <w:sz w:val="21"/>
                <w:szCs w:val="21"/>
              </w:rPr>
              <w:t>集体参与活动如获奖，主要参与人至多1名，由负责人确定；无负责人的项目如运动会等在学院认可的情况下可均按主要参与人计分。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0"/>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2</w:t>
            </w:r>
          </w:p>
        </w:tc>
        <w:tc>
          <w:tcPr>
            <w:tcW w:w="2528" w:type="dxa"/>
            <w:vAlign w:val="center"/>
          </w:tcPr>
          <w:p>
            <w:pPr>
              <w:widowControl w:val="0"/>
              <w:kinsoku/>
              <w:autoSpaceDN/>
              <w:spacing w:before="30"/>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rPr>
              <w:t>国家级</w:t>
            </w:r>
            <w:r>
              <w:rPr>
                <w:rFonts w:hint="eastAsia" w:ascii="楷体" w:hAnsi="楷体" w:eastAsia="楷体" w:cs="楷体"/>
                <w:color w:val="auto"/>
                <w:spacing w:val="-2"/>
                <w:sz w:val="21"/>
                <w:szCs w:val="21"/>
                <w:lang w:val="en-US" w:eastAsia="zh-CN"/>
              </w:rPr>
              <w:t>二等奖及以下</w:t>
            </w:r>
          </w:p>
          <w:p>
            <w:pPr>
              <w:widowControl w:val="0"/>
              <w:kinsoku/>
              <w:autoSpaceDN/>
              <w:spacing w:before="30"/>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2"/>
                <w:sz w:val="21"/>
                <w:szCs w:val="21"/>
                <w:lang w:val="en-US" w:eastAsia="zh-CN"/>
              </w:rPr>
              <w:t>省级</w:t>
            </w:r>
            <w:r>
              <w:rPr>
                <w:rFonts w:hint="eastAsia" w:ascii="楷体" w:hAnsi="楷体" w:eastAsia="楷体" w:cs="楷体"/>
                <w:color w:val="auto"/>
                <w:spacing w:val="-2"/>
                <w:sz w:val="21"/>
                <w:szCs w:val="21"/>
              </w:rPr>
              <w:t>一</w:t>
            </w:r>
            <w:r>
              <w:rPr>
                <w:rFonts w:hint="eastAsia" w:ascii="楷体" w:hAnsi="楷体" w:eastAsia="楷体" w:cs="楷体"/>
                <w:color w:val="auto"/>
                <w:spacing w:val="-1"/>
                <w:sz w:val="21"/>
                <w:szCs w:val="21"/>
              </w:rPr>
              <w:t>等奖或前三名以上</w:t>
            </w:r>
          </w:p>
        </w:tc>
        <w:tc>
          <w:tcPr>
            <w:tcW w:w="1029"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20</w:t>
            </w:r>
          </w:p>
        </w:tc>
        <w:tc>
          <w:tcPr>
            <w:tcW w:w="1243"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14</w:t>
            </w:r>
          </w:p>
        </w:tc>
        <w:tc>
          <w:tcPr>
            <w:tcW w:w="1282"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10</w:t>
            </w:r>
          </w:p>
        </w:tc>
        <w:tc>
          <w:tcPr>
            <w:tcW w:w="890"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20</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0"/>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3</w:t>
            </w:r>
          </w:p>
        </w:tc>
        <w:tc>
          <w:tcPr>
            <w:tcW w:w="2528" w:type="dxa"/>
            <w:vAlign w:val="center"/>
          </w:tcPr>
          <w:p>
            <w:pPr>
              <w:widowControl w:val="0"/>
              <w:kinsoku/>
              <w:autoSpaceDN/>
              <w:spacing w:before="30"/>
              <w:jc w:val="center"/>
              <w:rPr>
                <w:rFonts w:hint="default" w:ascii="楷体" w:hAnsi="楷体" w:eastAsia="楷体" w:cs="楷体"/>
                <w:color w:val="auto"/>
                <w:sz w:val="21"/>
                <w:szCs w:val="21"/>
                <w:lang w:val="en-US" w:eastAsia="zh-CN"/>
              </w:rPr>
            </w:pPr>
            <w:r>
              <w:rPr>
                <w:rFonts w:hint="eastAsia" w:ascii="楷体" w:hAnsi="楷体" w:eastAsia="楷体" w:cs="楷体"/>
                <w:color w:val="auto"/>
                <w:spacing w:val="-1"/>
                <w:sz w:val="21"/>
                <w:szCs w:val="21"/>
              </w:rPr>
              <w:t>省级</w:t>
            </w:r>
            <w:r>
              <w:rPr>
                <w:rFonts w:hint="eastAsia" w:ascii="楷体" w:hAnsi="楷体" w:eastAsia="楷体" w:cs="楷体"/>
                <w:color w:val="auto"/>
                <w:spacing w:val="-1"/>
                <w:sz w:val="21"/>
                <w:szCs w:val="21"/>
                <w:lang w:val="en-US" w:eastAsia="zh-CN"/>
              </w:rPr>
              <w:t>二等奖及以下</w:t>
            </w:r>
          </w:p>
          <w:p>
            <w:pPr>
              <w:widowControl w:val="0"/>
              <w:kinsoku/>
              <w:autoSpaceDN/>
              <w:spacing w:before="30"/>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rPr>
              <w:t>校</w:t>
            </w:r>
            <w:r>
              <w:rPr>
                <w:rFonts w:hint="eastAsia" w:ascii="楷体" w:hAnsi="楷体" w:eastAsia="楷体" w:cs="楷体"/>
                <w:color w:val="auto"/>
                <w:sz w:val="21"/>
                <w:szCs w:val="21"/>
                <w:lang w:val="en-US" w:eastAsia="zh-CN"/>
              </w:rPr>
              <w:t>级</w:t>
            </w:r>
            <w:r>
              <w:rPr>
                <w:rFonts w:hint="eastAsia" w:ascii="楷体" w:hAnsi="楷体" w:eastAsia="楷体" w:cs="楷体"/>
                <w:color w:val="auto"/>
                <w:sz w:val="21"/>
                <w:szCs w:val="21"/>
              </w:rPr>
              <w:t>一等奖或前三名以上</w:t>
            </w:r>
          </w:p>
        </w:tc>
        <w:tc>
          <w:tcPr>
            <w:tcW w:w="1029" w:type="dxa"/>
            <w:vAlign w:val="center"/>
          </w:tcPr>
          <w:p>
            <w:pPr>
              <w:widowControl w:val="0"/>
              <w:kinsoku/>
              <w:autoSpaceDN/>
              <w:spacing w:before="71"/>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8</w:t>
            </w:r>
          </w:p>
        </w:tc>
        <w:tc>
          <w:tcPr>
            <w:tcW w:w="1243" w:type="dxa"/>
            <w:vAlign w:val="center"/>
          </w:tcPr>
          <w:p>
            <w:pPr>
              <w:widowControl w:val="0"/>
              <w:kinsoku/>
              <w:autoSpaceDN/>
              <w:spacing w:before="69"/>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6</w:t>
            </w:r>
          </w:p>
        </w:tc>
        <w:tc>
          <w:tcPr>
            <w:tcW w:w="1282" w:type="dxa"/>
            <w:vAlign w:val="center"/>
          </w:tcPr>
          <w:p>
            <w:pPr>
              <w:widowControl w:val="0"/>
              <w:kinsoku/>
              <w:autoSpaceDN/>
              <w:spacing w:before="69"/>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4</w:t>
            </w:r>
          </w:p>
        </w:tc>
        <w:tc>
          <w:tcPr>
            <w:tcW w:w="890" w:type="dxa"/>
            <w:vAlign w:val="center"/>
          </w:tcPr>
          <w:p>
            <w:pPr>
              <w:widowControl w:val="0"/>
              <w:kinsoku/>
              <w:autoSpaceDN/>
              <w:spacing w:before="71"/>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8</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4"/>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4</w:t>
            </w:r>
          </w:p>
        </w:tc>
        <w:tc>
          <w:tcPr>
            <w:tcW w:w="2528" w:type="dxa"/>
            <w:vAlign w:val="center"/>
          </w:tcPr>
          <w:p>
            <w:pPr>
              <w:widowControl w:val="0"/>
              <w:kinsoku/>
              <w:autoSpaceDN/>
              <w:spacing w:before="34"/>
              <w:jc w:val="center"/>
              <w:rPr>
                <w:rFonts w:hint="eastAsia" w:ascii="楷体" w:hAnsi="楷体" w:eastAsia="楷体" w:cs="楷体"/>
                <w:color w:val="auto"/>
                <w:sz w:val="21"/>
                <w:szCs w:val="21"/>
              </w:rPr>
            </w:pPr>
            <w:r>
              <w:rPr>
                <w:rFonts w:hint="eastAsia" w:ascii="楷体" w:hAnsi="楷体" w:eastAsia="楷体" w:cs="楷体"/>
                <w:color w:val="auto"/>
                <w:sz w:val="21"/>
                <w:szCs w:val="21"/>
              </w:rPr>
              <w:t>校级</w:t>
            </w:r>
            <w:r>
              <w:rPr>
                <w:rFonts w:hint="eastAsia" w:ascii="楷体" w:hAnsi="楷体" w:eastAsia="楷体" w:cs="楷体"/>
                <w:color w:val="auto"/>
                <w:spacing w:val="-1"/>
                <w:sz w:val="21"/>
                <w:szCs w:val="21"/>
                <w:lang w:val="en-US" w:eastAsia="zh-CN"/>
              </w:rPr>
              <w:t>二等奖及以下</w:t>
            </w:r>
          </w:p>
          <w:p>
            <w:pPr>
              <w:widowControl w:val="0"/>
              <w:kinsoku/>
              <w:autoSpaceDN/>
              <w:spacing w:before="34"/>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rPr>
              <w:t>学院一等奖或前三名以上</w:t>
            </w:r>
          </w:p>
        </w:tc>
        <w:tc>
          <w:tcPr>
            <w:tcW w:w="1029" w:type="dxa"/>
            <w:vAlign w:val="center"/>
          </w:tcPr>
          <w:p>
            <w:pPr>
              <w:widowControl w:val="0"/>
              <w:kinsoku/>
              <w:autoSpaceDN/>
              <w:spacing w:before="72"/>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4</w:t>
            </w:r>
          </w:p>
        </w:tc>
        <w:tc>
          <w:tcPr>
            <w:tcW w:w="1243"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6"/>
                <w:sz w:val="21"/>
                <w:szCs w:val="21"/>
                <w:lang w:val="en-US" w:eastAsia="zh-CN"/>
              </w:rPr>
              <w:t>3.2</w:t>
            </w:r>
          </w:p>
        </w:tc>
        <w:tc>
          <w:tcPr>
            <w:tcW w:w="1282"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6"/>
                <w:sz w:val="21"/>
                <w:szCs w:val="21"/>
                <w:lang w:val="en-US" w:eastAsia="zh-CN"/>
              </w:rPr>
              <w:t>2.4</w:t>
            </w:r>
          </w:p>
        </w:tc>
        <w:tc>
          <w:tcPr>
            <w:tcW w:w="890" w:type="dxa"/>
            <w:vAlign w:val="center"/>
          </w:tcPr>
          <w:p>
            <w:pPr>
              <w:widowControl w:val="0"/>
              <w:kinsoku/>
              <w:autoSpaceDN/>
              <w:spacing w:before="72"/>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4</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5</w:t>
            </w:r>
          </w:p>
        </w:tc>
        <w:tc>
          <w:tcPr>
            <w:tcW w:w="2528" w:type="dxa"/>
            <w:vAlign w:val="center"/>
          </w:tcPr>
          <w:p>
            <w:pPr>
              <w:widowControl w:val="0"/>
              <w:kinsoku/>
              <w:autoSpaceDN/>
              <w:spacing w:before="32"/>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rPr>
              <w:t>学院</w:t>
            </w:r>
            <w:r>
              <w:rPr>
                <w:rFonts w:hint="eastAsia" w:ascii="楷体" w:hAnsi="楷体" w:eastAsia="楷体" w:cs="楷体"/>
                <w:color w:val="auto"/>
                <w:spacing w:val="-2"/>
                <w:sz w:val="21"/>
                <w:szCs w:val="21"/>
              </w:rPr>
              <w:t>级</w:t>
            </w:r>
            <w:r>
              <w:rPr>
                <w:rFonts w:hint="eastAsia" w:ascii="楷体" w:hAnsi="楷体" w:eastAsia="楷体" w:cs="楷体"/>
                <w:color w:val="auto"/>
                <w:spacing w:val="-1"/>
                <w:sz w:val="21"/>
                <w:szCs w:val="21"/>
                <w:lang w:val="en-US" w:eastAsia="zh-CN"/>
              </w:rPr>
              <w:t>二等奖及以下</w:t>
            </w:r>
          </w:p>
        </w:tc>
        <w:tc>
          <w:tcPr>
            <w:tcW w:w="1029" w:type="dxa"/>
            <w:vAlign w:val="center"/>
          </w:tcPr>
          <w:p>
            <w:pPr>
              <w:widowControl w:val="0"/>
              <w:kinsoku/>
              <w:autoSpaceDN/>
              <w:spacing w:before="74"/>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2</w:t>
            </w:r>
          </w:p>
        </w:tc>
        <w:tc>
          <w:tcPr>
            <w:tcW w:w="1243"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2"/>
                <w:sz w:val="21"/>
                <w:szCs w:val="21"/>
                <w:lang w:val="en-US" w:eastAsia="zh-CN"/>
              </w:rPr>
              <w:t>1.6</w:t>
            </w:r>
          </w:p>
        </w:tc>
        <w:tc>
          <w:tcPr>
            <w:tcW w:w="1282"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2"/>
                <w:sz w:val="21"/>
                <w:szCs w:val="21"/>
                <w:lang w:val="en-US" w:eastAsia="zh-CN"/>
              </w:rPr>
              <w:t>1.2</w:t>
            </w:r>
          </w:p>
        </w:tc>
        <w:tc>
          <w:tcPr>
            <w:tcW w:w="890" w:type="dxa"/>
            <w:vAlign w:val="center"/>
          </w:tcPr>
          <w:p>
            <w:pPr>
              <w:widowControl w:val="0"/>
              <w:kinsoku/>
              <w:autoSpaceDN/>
              <w:spacing w:before="74"/>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2</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758" w:type="dxa"/>
            <w:vMerge w:val="restart"/>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荣誉</w:t>
            </w:r>
          </w:p>
        </w:tc>
        <w:tc>
          <w:tcPr>
            <w:tcW w:w="658" w:type="dxa"/>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6</w:t>
            </w:r>
          </w:p>
        </w:tc>
        <w:tc>
          <w:tcPr>
            <w:tcW w:w="2528"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rPr>
              <w:t>国家级</w:t>
            </w:r>
          </w:p>
        </w:tc>
        <w:tc>
          <w:tcPr>
            <w:tcW w:w="1029"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40</w:t>
            </w:r>
          </w:p>
        </w:tc>
        <w:tc>
          <w:tcPr>
            <w:tcW w:w="1243" w:type="dxa"/>
            <w:vAlign w:val="center"/>
          </w:tcPr>
          <w:p>
            <w:pPr>
              <w:widowControl w:val="0"/>
              <w:kinsoku/>
              <w:autoSpaceDN/>
              <w:jc w:val="center"/>
              <w:rPr>
                <w:rFonts w:hint="default"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lang w:val="en-US" w:eastAsia="zh-CN"/>
              </w:rPr>
              <w:t>24</w:t>
            </w:r>
          </w:p>
        </w:tc>
        <w:tc>
          <w:tcPr>
            <w:tcW w:w="1282"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0</w:t>
            </w:r>
          </w:p>
        </w:tc>
        <w:tc>
          <w:tcPr>
            <w:tcW w:w="890"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40</w:t>
            </w:r>
          </w:p>
        </w:tc>
        <w:tc>
          <w:tcPr>
            <w:tcW w:w="7016" w:type="dxa"/>
            <w:vMerge w:val="restart"/>
            <w:vAlign w:val="center"/>
          </w:tcPr>
          <w:p>
            <w:pPr>
              <w:widowControl w:val="0"/>
              <w:numPr>
                <w:ilvl w:val="0"/>
                <w:numId w:val="6"/>
              </w:numPr>
              <w:kinsoku/>
              <w:autoSpaceDN/>
              <w:jc w:val="both"/>
              <w:rPr>
                <w:rFonts w:hint="eastAsia" w:ascii="楷体" w:hAnsi="楷体" w:eastAsia="楷体" w:cs="楷体"/>
                <w:color w:val="auto"/>
                <w:spacing w:val="-4"/>
                <w:sz w:val="21"/>
                <w:szCs w:val="21"/>
              </w:rPr>
            </w:pPr>
            <w:r>
              <w:rPr>
                <w:rFonts w:hint="eastAsia" w:ascii="楷体" w:hAnsi="楷体" w:eastAsia="楷体" w:cs="楷体"/>
                <w:color w:val="auto"/>
                <w:spacing w:val="-4"/>
                <w:sz w:val="21"/>
                <w:szCs w:val="21"/>
              </w:rPr>
              <w:t>国家级、省级荣誉包括大学生年度人物、两红两优、先进班集体、省三好/优干、样板党支部等竞争性、综合性荣誉表彰或其他经学办认定的荣誉称号；</w:t>
            </w:r>
          </w:p>
          <w:p>
            <w:pPr>
              <w:widowControl w:val="0"/>
              <w:numPr>
                <w:ilvl w:val="0"/>
                <w:numId w:val="6"/>
              </w:numPr>
              <w:kinsoku/>
              <w:autoSpaceDN/>
              <w:jc w:val="both"/>
              <w:rPr>
                <w:rFonts w:hint="eastAsia" w:ascii="楷体" w:hAnsi="楷体" w:eastAsia="楷体" w:cs="楷体"/>
                <w:color w:val="auto"/>
                <w:spacing w:val="-4"/>
                <w:sz w:val="21"/>
                <w:szCs w:val="21"/>
              </w:rPr>
            </w:pPr>
            <w:r>
              <w:rPr>
                <w:rFonts w:hint="eastAsia" w:ascii="楷体" w:hAnsi="楷体" w:eastAsia="楷体" w:cs="楷体"/>
                <w:color w:val="auto"/>
                <w:spacing w:val="-4"/>
                <w:sz w:val="21"/>
                <w:szCs w:val="21"/>
              </w:rPr>
              <w:t>校级荣誉包括最具影响力本科生、优秀志愿者(综合性)、先进班集体、十佳党支部、国旗团支部(含提名、入围)等竞争性、综合性荣誉或其他影响力相当的荣誉称号；</w:t>
            </w:r>
          </w:p>
          <w:p>
            <w:pPr>
              <w:widowControl w:val="0"/>
              <w:numPr>
                <w:ilvl w:val="0"/>
                <w:numId w:val="6"/>
              </w:numPr>
              <w:kinsoku/>
              <w:autoSpaceDN/>
              <w:jc w:val="both"/>
              <w:rPr>
                <w:rFonts w:hint="eastAsia" w:ascii="楷体" w:hAnsi="楷体" w:eastAsia="楷体" w:cs="楷体"/>
                <w:color w:val="auto"/>
                <w:spacing w:val="-4"/>
                <w:sz w:val="21"/>
                <w:szCs w:val="21"/>
              </w:rPr>
            </w:pPr>
            <w:r>
              <w:rPr>
                <w:rFonts w:hint="eastAsia" w:ascii="楷体" w:hAnsi="楷体" w:eastAsia="楷体" w:cs="楷体"/>
                <w:color w:val="auto"/>
                <w:spacing w:val="-4"/>
                <w:sz w:val="21"/>
                <w:szCs w:val="21"/>
              </w:rPr>
              <w:t>集体荣誉指由学院内学生集体获得， 不包括院外学生社团或集体；</w:t>
            </w:r>
          </w:p>
          <w:p>
            <w:pPr>
              <w:widowControl w:val="0"/>
              <w:numPr>
                <w:ilvl w:val="0"/>
                <w:numId w:val="6"/>
              </w:numPr>
              <w:kinsoku/>
              <w:autoSpaceDN/>
              <w:jc w:val="both"/>
              <w:rPr>
                <w:rFonts w:hint="eastAsia" w:ascii="楷体" w:hAnsi="楷体" w:eastAsia="楷体" w:cs="楷体"/>
                <w:color w:val="auto"/>
                <w:spacing w:val="-3"/>
                <w:sz w:val="21"/>
                <w:szCs w:val="21"/>
              </w:rPr>
            </w:pPr>
            <w:r>
              <w:rPr>
                <w:rFonts w:hint="eastAsia" w:ascii="楷体" w:hAnsi="楷体" w:eastAsia="楷体" w:cs="楷体"/>
                <w:color w:val="auto"/>
                <w:spacing w:val="-4"/>
                <w:sz w:val="21"/>
                <w:szCs w:val="21"/>
              </w:rPr>
              <w:t>集体荣誉中，负责人指班长、团支书、党支书、学生会成员、崇文工作站负责人等；</w:t>
            </w:r>
            <w:r>
              <w:rPr>
                <w:rFonts w:hint="eastAsia" w:ascii="楷体" w:hAnsi="楷体" w:eastAsia="楷体" w:cs="楷体"/>
                <w:color w:val="auto"/>
                <w:spacing w:val="-4"/>
                <w:sz w:val="21"/>
                <w:szCs w:val="21"/>
                <w:lang w:val="en-US" w:eastAsia="zh-CN"/>
              </w:rPr>
              <w:t>主要参与人</w:t>
            </w:r>
            <w:r>
              <w:rPr>
                <w:rFonts w:hint="eastAsia" w:ascii="楷体" w:hAnsi="楷体" w:eastAsia="楷体" w:cs="楷体"/>
                <w:color w:val="auto"/>
                <w:spacing w:val="-4"/>
                <w:sz w:val="21"/>
                <w:szCs w:val="21"/>
              </w:rPr>
              <w:t>指班委、支委、学生会部门负责人等，至多5人；</w:t>
            </w:r>
          </w:p>
          <w:p>
            <w:pPr>
              <w:widowControl w:val="0"/>
              <w:numPr>
                <w:ilvl w:val="0"/>
                <w:numId w:val="6"/>
              </w:numPr>
              <w:kinsoku/>
              <w:autoSpaceDN/>
              <w:jc w:val="both"/>
              <w:rPr>
                <w:rFonts w:hint="eastAsia" w:ascii="楷体" w:hAnsi="楷体" w:eastAsia="楷体" w:cs="楷体"/>
                <w:color w:val="auto"/>
                <w:spacing w:val="-3"/>
                <w:sz w:val="21"/>
                <w:szCs w:val="21"/>
              </w:rPr>
            </w:pPr>
            <w:r>
              <w:rPr>
                <w:rFonts w:hint="eastAsia" w:ascii="楷体" w:hAnsi="楷体" w:eastAsia="楷体" w:cs="楷体"/>
                <w:color w:val="auto"/>
                <w:spacing w:val="2"/>
                <w:sz w:val="21"/>
                <w:szCs w:val="21"/>
              </w:rPr>
              <w:t>各类荣誉如仅通过院内评审而未参与外部竞争，如</w:t>
            </w:r>
            <w:r>
              <w:rPr>
                <w:rFonts w:hint="eastAsia" w:ascii="楷体" w:hAnsi="楷体" w:eastAsia="楷体" w:cs="楷体"/>
                <w:color w:val="auto"/>
                <w:spacing w:val="1"/>
                <w:sz w:val="21"/>
                <w:szCs w:val="21"/>
              </w:rPr>
              <w:t>三好、优干、优秀团员、优秀党员等，不计算积分；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7</w:t>
            </w:r>
          </w:p>
        </w:tc>
        <w:tc>
          <w:tcPr>
            <w:tcW w:w="2528"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rPr>
              <w:t>省级</w:t>
            </w:r>
          </w:p>
        </w:tc>
        <w:tc>
          <w:tcPr>
            <w:tcW w:w="1029"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20</w:t>
            </w:r>
          </w:p>
        </w:tc>
        <w:tc>
          <w:tcPr>
            <w:tcW w:w="1243" w:type="dxa"/>
            <w:vAlign w:val="center"/>
          </w:tcPr>
          <w:p>
            <w:pPr>
              <w:widowControl w:val="0"/>
              <w:kinsoku/>
              <w:autoSpaceDN/>
              <w:jc w:val="center"/>
              <w:rPr>
                <w:rFonts w:hint="default"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lang w:val="en-US" w:eastAsia="zh-CN"/>
              </w:rPr>
              <w:t>12</w:t>
            </w:r>
          </w:p>
        </w:tc>
        <w:tc>
          <w:tcPr>
            <w:tcW w:w="1282"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0</w:t>
            </w:r>
          </w:p>
        </w:tc>
        <w:tc>
          <w:tcPr>
            <w:tcW w:w="890"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20</w:t>
            </w:r>
          </w:p>
        </w:tc>
        <w:tc>
          <w:tcPr>
            <w:tcW w:w="7016" w:type="dxa"/>
            <w:vMerge w:val="continue"/>
            <w:vAlign w:val="center"/>
          </w:tcPr>
          <w:p>
            <w:pPr>
              <w:widowControl w:val="0"/>
              <w:kinsoku/>
              <w:autoSpaceDN/>
              <w:spacing w:before="66"/>
              <w:ind w:left="535"/>
              <w:jc w:val="center"/>
              <w:rPr>
                <w:rFonts w:hint="eastAsia" w:ascii="楷体" w:hAnsi="楷体" w:eastAsia="楷体" w:cs="楷体"/>
                <w:color w:val="auto"/>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8</w:t>
            </w:r>
          </w:p>
        </w:tc>
        <w:tc>
          <w:tcPr>
            <w:tcW w:w="2528"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rPr>
              <w:t>校级</w:t>
            </w:r>
          </w:p>
        </w:tc>
        <w:tc>
          <w:tcPr>
            <w:tcW w:w="1029"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8</w:t>
            </w:r>
          </w:p>
        </w:tc>
        <w:tc>
          <w:tcPr>
            <w:tcW w:w="1243"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lang w:val="en-US" w:eastAsia="zh-CN"/>
              </w:rPr>
              <w:t>4</w:t>
            </w:r>
          </w:p>
        </w:tc>
        <w:tc>
          <w:tcPr>
            <w:tcW w:w="1282"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0</w:t>
            </w:r>
          </w:p>
        </w:tc>
        <w:tc>
          <w:tcPr>
            <w:tcW w:w="890"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8</w:t>
            </w:r>
          </w:p>
        </w:tc>
        <w:tc>
          <w:tcPr>
            <w:tcW w:w="7016" w:type="dxa"/>
            <w:vMerge w:val="continue"/>
            <w:vAlign w:val="center"/>
          </w:tcPr>
          <w:p>
            <w:pPr>
              <w:widowControl w:val="0"/>
              <w:kinsoku/>
              <w:autoSpaceDN/>
              <w:spacing w:before="67"/>
              <w:ind w:left="578"/>
              <w:jc w:val="center"/>
              <w:rPr>
                <w:rFonts w:hint="eastAsia" w:ascii="楷体" w:hAnsi="楷体" w:eastAsia="楷体" w:cs="楷体"/>
                <w:color w:val="auto"/>
                <w:sz w:val="21"/>
                <w:szCs w:val="21"/>
              </w:rPr>
            </w:pPr>
          </w:p>
        </w:tc>
      </w:tr>
    </w:tbl>
    <w:p>
      <w:pPr>
        <w:widowControl w:val="0"/>
        <w:kinsoku/>
        <w:autoSpaceDN/>
        <w:ind w:right="49"/>
        <w:rPr>
          <w:rFonts w:hint="eastAsia" w:ascii="楷体" w:hAnsi="楷体" w:eastAsia="楷体" w:cs="楷体"/>
          <w:color w:val="auto"/>
          <w:spacing w:val="2"/>
        </w:rPr>
      </w:pPr>
    </w:p>
    <w:p>
      <w:pPr>
        <w:widowControl w:val="0"/>
        <w:kinsoku/>
        <w:autoSpaceDN/>
        <w:ind w:right="49"/>
        <w:rPr>
          <w:rFonts w:ascii="楷体" w:hAnsi="楷体" w:eastAsia="楷体" w:cs="楷体"/>
          <w:color w:val="auto"/>
          <w:spacing w:val="2"/>
        </w:rPr>
      </w:pPr>
      <w:r>
        <w:rPr>
          <w:rFonts w:hint="eastAsia" w:ascii="楷体" w:hAnsi="楷体" w:eastAsia="楷体" w:cs="楷体"/>
          <w:color w:val="auto"/>
          <w:spacing w:val="2"/>
        </w:rPr>
        <w:t>注：</w:t>
      </w:r>
    </w:p>
    <w:p>
      <w:pPr>
        <w:widowControl w:val="0"/>
        <w:numPr>
          <w:ilvl w:val="0"/>
          <w:numId w:val="7"/>
        </w:numPr>
        <w:kinsoku/>
        <w:autoSpaceDN/>
        <w:ind w:right="49"/>
        <w:rPr>
          <w:rFonts w:ascii="楷体" w:hAnsi="楷体" w:eastAsia="楷体" w:cs="楷体"/>
          <w:color w:val="auto"/>
          <w:spacing w:val="3"/>
        </w:rPr>
      </w:pPr>
      <w:r>
        <w:rPr>
          <w:rFonts w:hint="eastAsia" w:ascii="楷体" w:hAnsi="楷体" w:eastAsia="楷体" w:cs="楷体"/>
          <w:color w:val="auto"/>
          <w:spacing w:val="2"/>
        </w:rPr>
        <w:t>同一内容计分按最高级别计，不重复累加；如周期跨两次奖励申请区间，则需扣除之前的有效申</w:t>
      </w:r>
      <w:r>
        <w:rPr>
          <w:rFonts w:hint="eastAsia" w:ascii="楷体" w:hAnsi="楷体" w:eastAsia="楷体" w:cs="楷体"/>
          <w:color w:val="auto"/>
          <w:spacing w:val="1"/>
        </w:rPr>
        <w:t>请得分；</w:t>
      </w:r>
      <w:r>
        <w:rPr>
          <w:rFonts w:hint="eastAsia" w:ascii="楷体" w:hAnsi="楷体" w:eastAsia="楷体" w:cs="楷体"/>
          <w:color w:val="auto"/>
          <w:spacing w:val="2"/>
          <w:lang w:val="en-US" w:eastAsia="zh-CN"/>
        </w:rPr>
        <w:t>参与社会活动获得荣誉及奖励积分</w:t>
      </w:r>
      <w:r>
        <w:rPr>
          <w:rFonts w:hint="eastAsia" w:ascii="楷体" w:hAnsi="楷体" w:eastAsia="楷体" w:cs="楷体"/>
          <w:color w:val="auto"/>
          <w:spacing w:val="2"/>
        </w:rPr>
        <w:t>一</w:t>
      </w:r>
      <w:r>
        <w:rPr>
          <w:rFonts w:hint="eastAsia" w:ascii="楷体" w:hAnsi="楷体" w:eastAsia="楷体" w:cs="楷体"/>
          <w:color w:val="auto"/>
          <w:spacing w:val="1"/>
        </w:rPr>
        <w:t>年不超过</w:t>
      </w:r>
      <w:r>
        <w:rPr>
          <w:rFonts w:hint="eastAsia" w:ascii="楷体" w:hAnsi="楷体" w:eastAsia="楷体" w:cs="楷体"/>
          <w:color w:val="auto"/>
          <w:spacing w:val="1"/>
          <w:lang w:val="en-US" w:eastAsia="zh-CN"/>
        </w:rPr>
        <w:t>40</w:t>
      </w:r>
      <w:r>
        <w:rPr>
          <w:rFonts w:hint="eastAsia" w:ascii="楷体" w:hAnsi="楷体" w:eastAsia="楷体" w:cs="楷体"/>
          <w:color w:val="auto"/>
          <w:spacing w:val="2"/>
        </w:rPr>
        <w:t>分；社会活动及获得荣誉</w:t>
      </w:r>
      <w:r>
        <w:rPr>
          <w:rFonts w:hint="eastAsia" w:ascii="楷体" w:hAnsi="楷体" w:eastAsia="楷体" w:cs="楷体"/>
          <w:color w:val="auto"/>
          <w:spacing w:val="2"/>
          <w:lang w:val="en-US" w:eastAsia="zh-CN"/>
        </w:rPr>
        <w:t>与奖励</w:t>
      </w:r>
      <w:r>
        <w:rPr>
          <w:rFonts w:hint="eastAsia" w:ascii="楷体" w:hAnsi="楷体" w:eastAsia="楷体" w:cs="楷体"/>
          <w:color w:val="auto"/>
          <w:spacing w:val="2"/>
        </w:rPr>
        <w:t>计分总分一年最高不超</w:t>
      </w:r>
      <w:r>
        <w:rPr>
          <w:rFonts w:hint="eastAsia" w:ascii="楷体" w:hAnsi="楷体" w:eastAsia="楷体" w:cs="楷体"/>
          <w:color w:val="auto"/>
          <w:spacing w:val="-2"/>
        </w:rPr>
        <w:t>过</w:t>
      </w:r>
      <w:r>
        <w:rPr>
          <w:rFonts w:hint="eastAsia" w:ascii="楷体" w:hAnsi="楷体" w:eastAsia="楷体" w:cs="楷体"/>
          <w:color w:val="auto"/>
          <w:spacing w:val="-2"/>
          <w:lang w:val="en-US" w:eastAsia="zh-CN"/>
        </w:rPr>
        <w:t>60</w:t>
      </w:r>
      <w:r>
        <w:rPr>
          <w:rFonts w:hint="eastAsia" w:ascii="楷体" w:hAnsi="楷体" w:eastAsia="楷体" w:cs="楷体"/>
          <w:color w:val="auto"/>
          <w:spacing w:val="-2"/>
        </w:rPr>
        <w:t>分。</w:t>
      </w:r>
    </w:p>
    <w:p>
      <w:pPr>
        <w:widowControl w:val="0"/>
        <w:numPr>
          <w:ilvl w:val="0"/>
          <w:numId w:val="7"/>
        </w:numPr>
        <w:kinsoku/>
        <w:autoSpaceDN/>
        <w:ind w:right="49"/>
        <w:rPr>
          <w:rFonts w:ascii="楷体" w:hAnsi="楷体" w:eastAsia="楷体" w:cs="楷体"/>
          <w:color w:val="auto"/>
        </w:rPr>
      </w:pPr>
      <w:r>
        <w:rPr>
          <w:rFonts w:hint="eastAsia" w:ascii="楷体" w:hAnsi="楷体" w:eastAsia="楷体" w:cs="楷体"/>
          <w:color w:val="auto"/>
          <w:spacing w:val="6"/>
        </w:rPr>
        <w:t>参与或组织由</w:t>
      </w:r>
      <w:r>
        <w:rPr>
          <w:rFonts w:hint="eastAsia" w:ascii="楷体" w:hAnsi="楷体" w:eastAsia="楷体" w:cs="楷体"/>
          <w:color w:val="auto"/>
          <w:spacing w:val="3"/>
        </w:rPr>
        <w:t>院学办事先认可的学校、学院、学生社团的重大活动，根据参与程度和工作量，积分可以上浮但最高不超过一倍。</w:t>
      </w:r>
    </w:p>
    <w:p>
      <w:pPr>
        <w:widowControl w:val="0"/>
        <w:numPr>
          <w:ilvl w:val="0"/>
          <w:numId w:val="7"/>
        </w:numPr>
        <w:kinsoku/>
        <w:autoSpaceDN/>
        <w:ind w:right="49"/>
        <w:rPr>
          <w:rFonts w:ascii="楷体" w:hAnsi="楷体" w:eastAsia="楷体" w:cs="楷体"/>
          <w:color w:val="auto"/>
        </w:rPr>
      </w:pPr>
      <w:r>
        <w:rPr>
          <w:rFonts w:hint="eastAsia" w:ascii="楷体" w:hAnsi="楷体" w:eastAsia="楷体" w:cs="楷体"/>
          <w:color w:val="auto"/>
          <w:spacing w:val="2"/>
        </w:rPr>
        <w:t>未涉及的活动、奖项、荣誉称号需由院学办会同评委会根据实际情况讨论认定。</w:t>
      </w:r>
    </w:p>
    <w:p>
      <w:pPr>
        <w:rPr>
          <w:rFonts w:ascii="楷体" w:hAnsi="楷体" w:eastAsia="楷体" w:cs="楷体"/>
          <w:color w:val="auto"/>
        </w:rPr>
      </w:pPr>
      <w:r>
        <w:rPr>
          <w:rFonts w:hint="eastAsia" w:ascii="楷体" w:hAnsi="楷体" w:eastAsia="楷体" w:cs="楷体"/>
          <w:color w:val="auto"/>
          <w:spacing w:val="2"/>
        </w:rPr>
        <w:br w:type="page"/>
      </w:r>
    </w:p>
    <w:p>
      <w:pPr>
        <w:widowControl w:val="0"/>
        <w:numPr>
          <w:ilvl w:val="0"/>
          <w:numId w:val="2"/>
        </w:numPr>
        <w:kinsoku/>
        <w:autoSpaceDN/>
        <w:spacing w:before="30" w:line="560" w:lineRule="exact"/>
        <w:ind w:left="9"/>
        <w:outlineLvl w:val="6"/>
        <w:rPr>
          <w:rFonts w:ascii="宋体" w:hAnsi="宋体" w:eastAsia="宋体" w:cs="宋体"/>
          <w:color w:val="auto"/>
          <w:spacing w:val="-1"/>
          <w:sz w:val="24"/>
          <w:szCs w:val="24"/>
        </w:rPr>
      </w:pPr>
      <w:r>
        <w:rPr>
          <w:rFonts w:hint="eastAsia" w:ascii="宋体" w:hAnsi="宋体" w:eastAsia="宋体" w:cs="宋体"/>
          <w:color w:val="auto"/>
          <w:spacing w:val="-1"/>
          <w:sz w:val="24"/>
          <w:szCs w:val="24"/>
        </w:rPr>
        <w:t>学生工作任职计分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40</w:t>
      </w:r>
      <w:r>
        <w:rPr>
          <w:rFonts w:hint="eastAsia" w:ascii="仿宋" w:hAnsi="仿宋" w:eastAsia="仿宋" w:cs="仿宋"/>
          <w:bCs/>
          <w:color w:val="FF0000"/>
        </w:rPr>
        <w:t>分）</w:t>
      </w:r>
    </w:p>
    <w:p>
      <w:pPr>
        <w:widowControl w:val="0"/>
        <w:kinsoku/>
        <w:autoSpaceDN/>
        <w:spacing w:before="22"/>
        <w:rPr>
          <w:rFonts w:ascii="宋体" w:hAnsi="宋体" w:eastAsia="宋体" w:cs="宋体"/>
          <w:color w:val="auto"/>
          <w:sz w:val="24"/>
          <w:szCs w:val="24"/>
        </w:rPr>
      </w:pPr>
      <w:r>
        <w:rPr>
          <w:rFonts w:hint="eastAsia" w:ascii="宋体" w:hAnsi="宋体" w:eastAsia="宋体" w:cs="宋体"/>
          <w:color w:val="auto"/>
          <w:spacing w:val="-3"/>
          <w:sz w:val="24"/>
          <w:szCs w:val="24"/>
        </w:rPr>
        <w:t>(1)校学生会、学生团体联合会主席团成员计</w:t>
      </w:r>
      <w:r>
        <w:rPr>
          <w:rFonts w:hint="eastAsia" w:ascii="宋体" w:hAnsi="宋体" w:eastAsia="宋体" w:cs="宋体"/>
          <w:color w:val="auto"/>
          <w:spacing w:val="-3"/>
          <w:sz w:val="24"/>
          <w:szCs w:val="24"/>
          <w:lang w:val="en-US" w:eastAsia="zh-CN"/>
        </w:rPr>
        <w:t>28</w:t>
      </w:r>
      <w:r>
        <w:rPr>
          <w:rFonts w:hint="eastAsia" w:ascii="宋体" w:hAnsi="宋体" w:eastAsia="宋体" w:cs="宋体"/>
          <w:color w:val="auto"/>
          <w:spacing w:val="-3"/>
          <w:sz w:val="24"/>
          <w:szCs w:val="24"/>
        </w:rPr>
        <w:t>分，部门主要负责人计</w:t>
      </w:r>
      <w:r>
        <w:rPr>
          <w:rFonts w:hint="eastAsia" w:ascii="宋体" w:hAnsi="宋体" w:eastAsia="宋体" w:cs="宋体"/>
          <w:color w:val="auto"/>
          <w:spacing w:val="-3"/>
          <w:sz w:val="24"/>
          <w:szCs w:val="24"/>
          <w:lang w:val="en-US" w:eastAsia="zh-CN"/>
        </w:rPr>
        <w:t>20</w:t>
      </w:r>
      <w:r>
        <w:rPr>
          <w:rFonts w:hint="eastAsia" w:ascii="宋体" w:hAnsi="宋体" w:eastAsia="宋体" w:cs="宋体"/>
          <w:color w:val="auto"/>
          <w:spacing w:val="-3"/>
          <w:sz w:val="24"/>
          <w:szCs w:val="24"/>
        </w:rPr>
        <w:t>分，其他负责人计</w:t>
      </w:r>
      <w:r>
        <w:rPr>
          <w:rFonts w:hint="eastAsia" w:ascii="宋体" w:hAnsi="宋体" w:eastAsia="宋体" w:cs="宋体"/>
          <w:color w:val="auto"/>
          <w:spacing w:val="-3"/>
          <w:sz w:val="24"/>
          <w:szCs w:val="24"/>
          <w:lang w:val="en-US" w:eastAsia="zh-CN"/>
        </w:rPr>
        <w:t>12</w:t>
      </w:r>
      <w:r>
        <w:rPr>
          <w:rFonts w:hint="eastAsia" w:ascii="宋体" w:hAnsi="宋体" w:eastAsia="宋体" w:cs="宋体"/>
          <w:color w:val="auto"/>
          <w:spacing w:val="-3"/>
          <w:sz w:val="24"/>
          <w:szCs w:val="24"/>
        </w:rPr>
        <w:t>分，工作人员计</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widowControl w:val="0"/>
        <w:kinsoku/>
        <w:autoSpaceDN/>
        <w:spacing w:before="20"/>
        <w:rPr>
          <w:rFonts w:ascii="宋体" w:hAnsi="宋体" w:eastAsia="宋体" w:cs="宋体"/>
          <w:color w:val="auto"/>
          <w:sz w:val="24"/>
          <w:szCs w:val="24"/>
        </w:rPr>
      </w:pPr>
      <w:r>
        <w:rPr>
          <w:rFonts w:hint="eastAsia" w:ascii="宋体" w:hAnsi="宋体" w:eastAsia="宋体" w:cs="宋体"/>
          <w:color w:val="auto"/>
          <w:spacing w:val="14"/>
          <w:sz w:val="24"/>
          <w:szCs w:val="24"/>
        </w:rPr>
        <w:t>(2)</w:t>
      </w:r>
      <w:r>
        <w:rPr>
          <w:rFonts w:hint="eastAsia" w:ascii="宋体" w:hAnsi="宋体" w:eastAsia="宋体" w:cs="宋体"/>
          <w:color w:val="auto"/>
          <w:spacing w:val="7"/>
          <w:sz w:val="24"/>
          <w:szCs w:val="24"/>
        </w:rPr>
        <w:t>院团委副书记(学生)计</w:t>
      </w:r>
      <w:r>
        <w:rPr>
          <w:rFonts w:hint="eastAsia" w:ascii="宋体" w:hAnsi="宋体" w:eastAsia="宋体" w:cs="宋体"/>
          <w:color w:val="auto"/>
          <w:spacing w:val="7"/>
          <w:sz w:val="24"/>
          <w:szCs w:val="24"/>
          <w:lang w:val="en-US" w:eastAsia="zh-CN"/>
        </w:rPr>
        <w:t>20</w:t>
      </w:r>
      <w:r>
        <w:rPr>
          <w:rFonts w:hint="eastAsia" w:ascii="宋体" w:hAnsi="宋体" w:eastAsia="宋体" w:cs="宋体"/>
          <w:color w:val="auto"/>
          <w:spacing w:val="7"/>
          <w:sz w:val="24"/>
          <w:szCs w:val="24"/>
        </w:rPr>
        <w:t>分，院团委各部门负责人计</w:t>
      </w:r>
      <w:r>
        <w:rPr>
          <w:rFonts w:hint="eastAsia" w:ascii="宋体" w:hAnsi="宋体" w:eastAsia="宋体" w:cs="宋体"/>
          <w:color w:val="auto"/>
          <w:spacing w:val="7"/>
          <w:sz w:val="24"/>
          <w:szCs w:val="24"/>
          <w:lang w:val="en-US" w:eastAsia="zh-CN"/>
        </w:rPr>
        <w:t>16</w:t>
      </w:r>
      <w:r>
        <w:rPr>
          <w:rFonts w:hint="eastAsia" w:ascii="宋体" w:hAnsi="宋体" w:eastAsia="宋体" w:cs="宋体"/>
          <w:color w:val="auto"/>
          <w:spacing w:val="7"/>
          <w:sz w:val="24"/>
          <w:szCs w:val="24"/>
        </w:rPr>
        <w:t>分，工作人员</w:t>
      </w: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分；</w:t>
      </w:r>
    </w:p>
    <w:p>
      <w:pPr>
        <w:widowControl w:val="0"/>
        <w:kinsoku/>
        <w:autoSpaceDN/>
        <w:spacing w:before="25"/>
        <w:ind w:right="1"/>
        <w:rPr>
          <w:rFonts w:ascii="宋体" w:hAnsi="宋体" w:eastAsia="宋体" w:cs="宋体"/>
          <w:color w:val="auto"/>
          <w:sz w:val="24"/>
          <w:szCs w:val="24"/>
        </w:rPr>
      </w:pPr>
      <w:r>
        <w:rPr>
          <w:rFonts w:hint="eastAsia" w:ascii="宋体" w:hAnsi="宋体" w:eastAsia="宋体" w:cs="宋体"/>
          <w:color w:val="auto"/>
          <w:spacing w:val="-1"/>
          <w:sz w:val="24"/>
          <w:szCs w:val="24"/>
        </w:rPr>
        <w:t>(3)院学生会主席团计</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分，部门主要负责人计</w:t>
      </w:r>
      <w:r>
        <w:rPr>
          <w:rFonts w:hint="eastAsia" w:ascii="宋体" w:hAnsi="宋体" w:eastAsia="宋体" w:cs="宋体"/>
          <w:color w:val="auto"/>
          <w:spacing w:val="-1"/>
          <w:sz w:val="24"/>
          <w:szCs w:val="24"/>
          <w:lang w:val="en-US" w:eastAsia="zh-CN"/>
        </w:rPr>
        <w:t>12</w:t>
      </w:r>
      <w:r>
        <w:rPr>
          <w:rFonts w:hint="eastAsia" w:ascii="宋体" w:hAnsi="宋体" w:eastAsia="宋体" w:cs="宋体"/>
          <w:color w:val="auto"/>
          <w:spacing w:val="-1"/>
          <w:sz w:val="24"/>
          <w:szCs w:val="24"/>
        </w:rPr>
        <w:t>分，其他负责人计</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分，工作人员计</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w:t>
      </w:r>
    </w:p>
    <w:p>
      <w:pPr>
        <w:widowControl w:val="0"/>
        <w:kinsoku/>
        <w:autoSpaceDN/>
        <w:spacing w:before="2"/>
        <w:rPr>
          <w:rFonts w:ascii="宋体" w:hAnsi="宋体" w:eastAsia="宋体" w:cs="宋体"/>
          <w:color w:val="auto"/>
          <w:sz w:val="24"/>
          <w:szCs w:val="24"/>
        </w:rPr>
      </w:pPr>
      <w:r>
        <w:rPr>
          <w:rFonts w:hint="eastAsia" w:ascii="宋体" w:hAnsi="宋体" w:eastAsia="宋体" w:cs="宋体"/>
          <w:color w:val="auto"/>
          <w:spacing w:val="-1"/>
          <w:sz w:val="24"/>
          <w:szCs w:val="24"/>
        </w:rPr>
        <w:t>(4)崇文党建工作站主要负责</w:t>
      </w:r>
      <w:r>
        <w:rPr>
          <w:rFonts w:hint="eastAsia" w:ascii="宋体" w:hAnsi="宋体" w:eastAsia="宋体" w:cs="宋体"/>
          <w:color w:val="auto"/>
          <w:sz w:val="24"/>
          <w:szCs w:val="24"/>
        </w:rPr>
        <w:t>人计</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分，部门负责人计</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分，工作人</w:t>
      </w:r>
      <w:r>
        <w:rPr>
          <w:rFonts w:hint="eastAsia" w:ascii="宋体" w:hAnsi="宋体" w:eastAsia="宋体" w:cs="宋体"/>
          <w:color w:val="auto"/>
          <w:spacing w:val="-5"/>
          <w:sz w:val="24"/>
          <w:szCs w:val="24"/>
        </w:rPr>
        <w:t>员计</w:t>
      </w: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rPr>
        <w:t>分</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本科生党支部书记计</w:t>
      </w:r>
      <w:r>
        <w:rPr>
          <w:rFonts w:hint="eastAsia" w:ascii="宋体" w:hAnsi="宋体" w:eastAsia="宋体" w:cs="宋体"/>
          <w:color w:val="auto"/>
          <w:spacing w:val="-5"/>
          <w:sz w:val="24"/>
          <w:szCs w:val="24"/>
          <w:lang w:val="en-US" w:eastAsia="zh-CN"/>
        </w:rPr>
        <w:t>20</w:t>
      </w:r>
      <w:r>
        <w:rPr>
          <w:rFonts w:hint="eastAsia" w:ascii="宋体" w:hAnsi="宋体" w:eastAsia="宋体" w:cs="宋体"/>
          <w:color w:val="auto"/>
          <w:spacing w:val="-5"/>
          <w:sz w:val="24"/>
          <w:szCs w:val="24"/>
        </w:rPr>
        <w:t>分，支委计</w:t>
      </w:r>
      <w:r>
        <w:rPr>
          <w:rFonts w:hint="eastAsia" w:ascii="宋体" w:hAnsi="宋体" w:eastAsia="宋体" w:cs="宋体"/>
          <w:color w:val="auto"/>
          <w:spacing w:val="-5"/>
          <w:sz w:val="24"/>
          <w:szCs w:val="24"/>
          <w:lang w:val="en-US" w:eastAsia="zh-CN"/>
        </w:rPr>
        <w:t>16</w:t>
      </w:r>
      <w:r>
        <w:rPr>
          <w:rFonts w:hint="eastAsia" w:ascii="宋体" w:hAnsi="宋体" w:eastAsia="宋体" w:cs="宋体"/>
          <w:color w:val="auto"/>
          <w:spacing w:val="-5"/>
          <w:sz w:val="24"/>
          <w:szCs w:val="24"/>
        </w:rPr>
        <w:t>分</w:t>
      </w:r>
      <w:r>
        <w:rPr>
          <w:rFonts w:hint="eastAsia" w:ascii="宋体" w:hAnsi="宋体" w:eastAsia="宋体" w:cs="宋体"/>
          <w:color w:val="auto"/>
          <w:spacing w:val="-4"/>
          <w:sz w:val="24"/>
          <w:szCs w:val="24"/>
        </w:rPr>
        <w:t>；</w:t>
      </w:r>
    </w:p>
    <w:p>
      <w:pPr>
        <w:widowControl w:val="0"/>
        <w:kinsoku/>
        <w:autoSpaceDN/>
        <w:rPr>
          <w:rFonts w:ascii="宋体" w:hAnsi="宋体" w:eastAsia="宋体" w:cs="宋体"/>
          <w:color w:val="auto"/>
          <w:sz w:val="24"/>
          <w:szCs w:val="24"/>
        </w:rPr>
      </w:pPr>
      <w:r>
        <w:rPr>
          <w:rFonts w:hint="eastAsia" w:ascii="宋体" w:hAnsi="宋体" w:eastAsia="宋体" w:cs="宋体"/>
          <w:color w:val="auto"/>
          <w:spacing w:val="-2"/>
          <w:sz w:val="24"/>
          <w:szCs w:val="24"/>
        </w:rPr>
        <w:t>(5)学生社</w:t>
      </w:r>
      <w:r>
        <w:rPr>
          <w:rFonts w:hint="eastAsia" w:ascii="宋体" w:hAnsi="宋体" w:eastAsia="宋体" w:cs="宋体"/>
          <w:color w:val="auto"/>
          <w:spacing w:val="-1"/>
          <w:sz w:val="24"/>
          <w:szCs w:val="24"/>
        </w:rPr>
        <w:t>团主要负责人计</w:t>
      </w:r>
      <w:r>
        <w:rPr>
          <w:rFonts w:hint="eastAsia" w:ascii="宋体" w:hAnsi="宋体" w:eastAsia="宋体" w:cs="宋体"/>
          <w:color w:val="auto"/>
          <w:spacing w:val="-1"/>
          <w:sz w:val="24"/>
          <w:szCs w:val="24"/>
          <w:lang w:val="en-US" w:eastAsia="zh-CN"/>
        </w:rPr>
        <w:t>12</w:t>
      </w:r>
      <w:r>
        <w:rPr>
          <w:rFonts w:hint="eastAsia" w:ascii="宋体" w:hAnsi="宋体" w:eastAsia="宋体" w:cs="宋体"/>
          <w:color w:val="auto"/>
          <w:spacing w:val="-1"/>
          <w:sz w:val="24"/>
          <w:szCs w:val="24"/>
        </w:rPr>
        <w:t>分，艺术团负责人、社团部门负责人计</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分，工作人员计</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w:t>
      </w:r>
    </w:p>
    <w:p>
      <w:pPr>
        <w:widowControl w:val="0"/>
        <w:kinsoku/>
        <w:autoSpaceDN/>
        <w:spacing w:before="20"/>
        <w:rPr>
          <w:rFonts w:ascii="宋体" w:hAnsi="宋体" w:eastAsia="宋体" w:cs="宋体"/>
          <w:color w:val="auto"/>
          <w:sz w:val="24"/>
          <w:szCs w:val="24"/>
        </w:rPr>
      </w:pPr>
      <w:r>
        <w:rPr>
          <w:rFonts w:hint="eastAsia" w:ascii="宋体" w:hAnsi="宋体" w:eastAsia="宋体" w:cs="宋体"/>
          <w:color w:val="auto"/>
          <w:spacing w:val="-8"/>
          <w:sz w:val="24"/>
          <w:szCs w:val="24"/>
        </w:rPr>
        <w:t>(6)</w:t>
      </w:r>
      <w:r>
        <w:rPr>
          <w:rFonts w:hint="eastAsia" w:ascii="宋体" w:hAnsi="宋体" w:eastAsia="宋体" w:cs="宋体"/>
          <w:color w:val="auto"/>
          <w:spacing w:val="-4"/>
          <w:sz w:val="24"/>
          <w:szCs w:val="24"/>
        </w:rPr>
        <w:t>班长、团支书计</w:t>
      </w:r>
      <w:r>
        <w:rPr>
          <w:rFonts w:hint="eastAsia" w:ascii="宋体" w:hAnsi="宋体" w:eastAsia="宋体" w:cs="宋体"/>
          <w:color w:val="auto"/>
          <w:spacing w:val="-4"/>
          <w:sz w:val="24"/>
          <w:szCs w:val="24"/>
          <w:lang w:val="en-US" w:eastAsia="zh-CN"/>
        </w:rPr>
        <w:t>16</w:t>
      </w:r>
      <w:r>
        <w:rPr>
          <w:rFonts w:hint="eastAsia" w:ascii="宋体" w:hAnsi="宋体" w:eastAsia="宋体" w:cs="宋体"/>
          <w:color w:val="auto"/>
          <w:spacing w:val="-4"/>
          <w:sz w:val="24"/>
          <w:szCs w:val="24"/>
        </w:rPr>
        <w:t>分，班委、支委计</w:t>
      </w:r>
      <w:r>
        <w:rPr>
          <w:rFonts w:hint="eastAsia" w:ascii="宋体" w:hAnsi="宋体" w:eastAsia="宋体" w:cs="宋体"/>
          <w:color w:val="auto"/>
          <w:spacing w:val="-4"/>
          <w:sz w:val="24"/>
          <w:szCs w:val="24"/>
          <w:lang w:val="en-US" w:eastAsia="zh-CN"/>
        </w:rPr>
        <w:t>4</w:t>
      </w:r>
      <w:r>
        <w:rPr>
          <w:rFonts w:hint="eastAsia" w:ascii="宋体" w:hAnsi="宋体" w:eastAsia="宋体" w:cs="宋体"/>
          <w:color w:val="auto"/>
          <w:spacing w:val="-4"/>
          <w:sz w:val="24"/>
          <w:szCs w:val="24"/>
        </w:rPr>
        <w:t>分；</w:t>
      </w:r>
    </w:p>
    <w:p>
      <w:pPr>
        <w:widowControl w:val="0"/>
        <w:kinsoku/>
        <w:autoSpaceDN/>
        <w:spacing w:before="281"/>
        <w:ind w:firstLine="388" w:firstLineChars="200"/>
        <w:rPr>
          <w:rFonts w:hint="eastAsia" w:ascii="楷体" w:hAnsi="楷体" w:eastAsia="楷体" w:cs="楷体"/>
          <w:color w:val="auto"/>
          <w:spacing w:val="-4"/>
        </w:rPr>
      </w:pPr>
      <w:r>
        <w:rPr>
          <w:rFonts w:hint="eastAsia" w:ascii="楷体" w:hAnsi="楷体" w:eastAsia="楷体" w:cs="楷体"/>
          <w:color w:val="auto"/>
          <w:spacing w:val="-8"/>
        </w:rPr>
        <w:t>注：以上为</w:t>
      </w:r>
      <w:r>
        <w:rPr>
          <w:rFonts w:hint="eastAsia" w:ascii="楷体" w:hAnsi="楷体" w:eastAsia="楷体" w:cs="楷体"/>
          <w:color w:val="auto"/>
          <w:spacing w:val="-5"/>
        </w:rPr>
        <w:t>任</w:t>
      </w:r>
      <w:r>
        <w:rPr>
          <w:rFonts w:hint="eastAsia" w:ascii="楷体" w:hAnsi="楷体" w:eastAsia="楷体" w:cs="楷体"/>
          <w:color w:val="auto"/>
          <w:spacing w:val="-4"/>
        </w:rPr>
        <w:t>职满一年且考核合格 (按10个月计算) 的分值，实际分值的计算按评定区间内的任职时间按比例折算得分。院外任职均需提供主管单位发</w:t>
      </w:r>
      <w:r>
        <w:rPr>
          <w:rFonts w:hint="eastAsia" w:ascii="楷体" w:hAnsi="楷体" w:eastAsia="楷体" w:cs="楷体"/>
          <w:color w:val="auto"/>
          <w:spacing w:val="-8"/>
        </w:rPr>
        <w:t>文或签字盖章的证</w:t>
      </w:r>
      <w:r>
        <w:rPr>
          <w:rFonts w:hint="eastAsia" w:ascii="楷体" w:hAnsi="楷体" w:eastAsia="楷体" w:cs="楷体"/>
          <w:color w:val="auto"/>
          <w:spacing w:val="-7"/>
        </w:rPr>
        <w:t>明</w:t>
      </w:r>
      <w:r>
        <w:rPr>
          <w:rFonts w:hint="eastAsia" w:ascii="楷体" w:hAnsi="楷体" w:eastAsia="楷体" w:cs="楷体"/>
          <w:color w:val="auto"/>
          <w:spacing w:val="-4"/>
        </w:rPr>
        <w:t>材料。同一体系多个任职按最高的计算，不重复计分。</w:t>
      </w:r>
    </w:p>
    <w:p>
      <w:pPr>
        <w:rPr>
          <w:rFonts w:ascii="Arial" w:hAnsi="Arial" w:eastAsia="Arial" w:cs="Arial"/>
          <w:snapToGrid w:val="0"/>
          <w:szCs w:val="21"/>
        </w:rPr>
      </w:pPr>
      <w:r>
        <w:rPr>
          <w:rFonts w:hint="eastAsia" w:ascii="楷体" w:hAnsi="楷体" w:eastAsia="楷体" w:cs="楷体"/>
          <w:color w:val="auto"/>
          <w:spacing w:val="-4"/>
        </w:rPr>
        <w:br w:type="page"/>
      </w:r>
      <w:bookmarkStart w:id="0" w:name="_GoBack"/>
      <w:bookmarkEnd w:id="0"/>
    </w:p>
    <w:p>
      <w:pPr>
        <w:autoSpaceDE w:val="0"/>
        <w:adjustRightInd w:val="0"/>
        <w:snapToGrid w:val="0"/>
        <w:spacing w:line="560" w:lineRule="exact"/>
        <w:jc w:val="left"/>
        <w:textAlignment w:val="baseline"/>
        <w:outlineLvl w:val="0"/>
        <w:rPr>
          <w:rFonts w:ascii="黑体" w:hAnsi="黑体" w:eastAsia="黑体" w:cs="黑体"/>
          <w:b/>
          <w:snapToGrid w:val="0"/>
          <w:sz w:val="30"/>
          <w:szCs w:val="30"/>
        </w:rPr>
      </w:pPr>
      <w:r>
        <w:rPr>
          <w:rFonts w:hint="eastAsia" w:ascii="黑体" w:hAnsi="黑体" w:eastAsia="黑体" w:cs="黑体"/>
          <w:b/>
          <w:snapToGrid w:val="0"/>
          <w:sz w:val="30"/>
          <w:szCs w:val="30"/>
        </w:rPr>
        <w:t xml:space="preserve">附件 </w:t>
      </w:r>
      <w:r>
        <w:rPr>
          <w:rFonts w:ascii="黑体" w:hAnsi="黑体" w:eastAsia="黑体" w:cs="黑体"/>
          <w:b/>
          <w:snapToGrid w:val="0"/>
          <w:sz w:val="30"/>
          <w:szCs w:val="30"/>
        </w:rPr>
        <w:t>2</w:t>
      </w:r>
    </w:p>
    <w:p>
      <w:pPr>
        <w:autoSpaceDE w:val="0"/>
        <w:adjustRightInd w:val="0"/>
        <w:snapToGrid w:val="0"/>
        <w:spacing w:before="161" w:line="560" w:lineRule="exact"/>
        <w:jc w:val="center"/>
        <w:textAlignment w:val="baseline"/>
        <w:rPr>
          <w:rFonts w:ascii="方正小标宋简体" w:hAnsi="方正小标宋简体" w:eastAsia="方正小标宋简体" w:cs="方正小标宋简体"/>
          <w:snapToGrid w:val="0"/>
          <w:spacing w:val="18"/>
          <w:sz w:val="44"/>
          <w:szCs w:val="44"/>
        </w:rPr>
      </w:pPr>
      <w:r>
        <w:rPr>
          <w:rFonts w:hint="eastAsia" w:ascii="方正小标宋简体" w:hAnsi="方正小标宋简体" w:eastAsia="方正小标宋简体" w:cs="方正小标宋简体"/>
          <w:snapToGrid w:val="0"/>
          <w:spacing w:val="18"/>
          <w:sz w:val="44"/>
          <w:szCs w:val="44"/>
        </w:rPr>
        <w:t>文科试验班奖学金申请表</w:t>
      </w:r>
    </w:p>
    <w:p>
      <w:pPr>
        <w:autoSpaceDE w:val="0"/>
        <w:adjustRightInd w:val="0"/>
        <w:snapToGrid w:val="0"/>
        <w:jc w:val="center"/>
        <w:textAlignment w:val="baseline"/>
        <w:rPr>
          <w:rFonts w:ascii="仿宋" w:hAnsi="仿宋" w:eastAsia="仿宋" w:cs="仿宋"/>
          <w:snapToGrid w:val="0"/>
          <w:szCs w:val="21"/>
        </w:rPr>
      </w:pPr>
      <w:r>
        <w:rPr>
          <w:rFonts w:hint="eastAsia" w:ascii="仿宋" w:hAnsi="仿宋" w:eastAsia="仿宋" w:cs="仿宋"/>
          <w:snapToGrid w:val="0"/>
          <w:szCs w:val="21"/>
        </w:rPr>
        <w:t>（本科生用表）</w:t>
      </w:r>
    </w:p>
    <w:p>
      <w:pPr>
        <w:widowControl w:val="0"/>
        <w:kinsoku/>
        <w:autoSpaceDN/>
        <w:jc w:val="center"/>
        <w:rPr>
          <w:rFonts w:ascii="仿宋" w:hAnsi="仿宋" w:eastAsia="仿宋"/>
          <w:b/>
          <w:color w:val="FF0000"/>
          <w:sz w:val="24"/>
          <w:szCs w:val="24"/>
        </w:rPr>
      </w:pPr>
      <w:r>
        <w:rPr>
          <w:rFonts w:hint="eastAsia" w:ascii="仿宋" w:hAnsi="仿宋" w:eastAsia="仿宋"/>
          <w:b/>
          <w:color w:val="FF0000"/>
          <w:sz w:val="24"/>
          <w:szCs w:val="24"/>
        </w:rPr>
        <w:t>（202×年09月—202×年09月）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246"/>
        <w:gridCol w:w="866"/>
        <w:gridCol w:w="1891"/>
        <w:gridCol w:w="1132"/>
        <w:gridCol w:w="1500"/>
        <w:gridCol w:w="1512"/>
        <w:gridCol w:w="1846"/>
        <w:gridCol w:w="140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150" w:type="dxa"/>
            <w:gridSpan w:val="10"/>
            <w:vAlign w:val="center"/>
          </w:tcPr>
          <w:p>
            <w:pPr>
              <w:widowControl w:val="0"/>
              <w:kinsoku/>
              <w:autoSpaceDN/>
              <w:jc w:val="center"/>
              <w:rPr>
                <w:rFonts w:ascii="仿宋" w:hAnsi="仿宋" w:eastAsia="仿宋" w:cs="仿宋"/>
                <w:b/>
                <w:color w:val="auto"/>
                <w:sz w:val="24"/>
                <w:szCs w:val="24"/>
              </w:rPr>
            </w:pPr>
            <w:r>
              <w:rPr>
                <w:rFonts w:hint="eastAsia" w:ascii="仿宋" w:hAnsi="仿宋" w:eastAsia="仿宋" w:cs="仿宋"/>
                <w:b/>
                <w:color w:val="auto"/>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07"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学号</w:t>
            </w:r>
          </w:p>
        </w:tc>
        <w:tc>
          <w:tcPr>
            <w:tcW w:w="1246" w:type="dxa"/>
            <w:vAlign w:val="center"/>
          </w:tcPr>
          <w:p>
            <w:pPr>
              <w:widowControl w:val="0"/>
              <w:kinsoku/>
              <w:autoSpaceDN/>
              <w:jc w:val="center"/>
              <w:rPr>
                <w:rFonts w:ascii="仿宋" w:hAnsi="仿宋" w:eastAsia="仿宋" w:cs="仿宋"/>
                <w:bCs/>
                <w:color w:val="auto"/>
              </w:rPr>
            </w:pPr>
          </w:p>
        </w:tc>
        <w:tc>
          <w:tcPr>
            <w:tcW w:w="866"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姓名</w:t>
            </w:r>
          </w:p>
        </w:tc>
        <w:tc>
          <w:tcPr>
            <w:tcW w:w="1891" w:type="dxa"/>
            <w:vAlign w:val="center"/>
          </w:tcPr>
          <w:p>
            <w:pPr>
              <w:widowControl w:val="0"/>
              <w:kinsoku/>
              <w:autoSpaceDN/>
              <w:jc w:val="center"/>
              <w:rPr>
                <w:rFonts w:ascii="仿宋" w:hAnsi="仿宋" w:eastAsia="仿宋" w:cs="仿宋"/>
                <w:bCs/>
                <w:color w:val="auto"/>
              </w:rPr>
            </w:pPr>
          </w:p>
        </w:tc>
        <w:tc>
          <w:tcPr>
            <w:tcW w:w="113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政治面貌</w:t>
            </w:r>
          </w:p>
        </w:tc>
        <w:tc>
          <w:tcPr>
            <w:tcW w:w="1500" w:type="dxa"/>
            <w:vAlign w:val="center"/>
          </w:tcPr>
          <w:p>
            <w:pPr>
              <w:widowControl w:val="0"/>
              <w:kinsoku/>
              <w:autoSpaceDN/>
              <w:jc w:val="center"/>
              <w:rPr>
                <w:rFonts w:ascii="仿宋" w:hAnsi="仿宋" w:eastAsia="仿宋" w:cs="仿宋"/>
                <w:bCs/>
                <w:color w:val="auto"/>
              </w:rPr>
            </w:pPr>
          </w:p>
        </w:tc>
        <w:tc>
          <w:tcPr>
            <w:tcW w:w="151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手机号</w:t>
            </w:r>
          </w:p>
        </w:tc>
        <w:tc>
          <w:tcPr>
            <w:tcW w:w="1846" w:type="dxa"/>
            <w:vAlign w:val="center"/>
          </w:tcPr>
          <w:p>
            <w:pPr>
              <w:widowControl w:val="0"/>
              <w:kinsoku/>
              <w:autoSpaceDN/>
              <w:jc w:val="center"/>
              <w:rPr>
                <w:rFonts w:ascii="仿宋" w:hAnsi="仿宋" w:eastAsia="仿宋" w:cs="仿宋"/>
                <w:bCs/>
                <w:color w:val="auto"/>
              </w:rPr>
            </w:pPr>
          </w:p>
        </w:tc>
        <w:tc>
          <w:tcPr>
            <w:tcW w:w="1407"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首修平均分</w:t>
            </w:r>
          </w:p>
        </w:tc>
        <w:tc>
          <w:tcPr>
            <w:tcW w:w="1243" w:type="dxa"/>
            <w:vAlign w:val="center"/>
          </w:tcPr>
          <w:p>
            <w:pPr>
              <w:widowControl w:val="0"/>
              <w:kinsoku/>
              <w:autoSpaceDN/>
              <w:jc w:val="center"/>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507"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奖项申请意向</w:t>
            </w:r>
          </w:p>
        </w:tc>
        <w:tc>
          <w:tcPr>
            <w:tcW w:w="12643" w:type="dxa"/>
            <w:gridSpan w:val="9"/>
            <w:vAlign w:val="center"/>
          </w:tcPr>
          <w:p>
            <w:pPr>
              <w:widowControl w:val="0"/>
              <w:kinsoku/>
              <w:autoSpaceDN/>
              <w:spacing w:line="560" w:lineRule="exact"/>
              <w:jc w:val="both"/>
              <w:rPr>
                <w:rFonts w:ascii="仿宋" w:hAnsi="仿宋" w:eastAsia="仿宋" w:cs="仿宋"/>
                <w:bCs/>
                <w:color w:val="auto"/>
              </w:rPr>
            </w:pPr>
            <w:r>
              <w:rPr>
                <w:rFonts w:hint="eastAsia" w:ascii="仿宋" w:hAnsi="仿宋" w:eastAsia="仿宋" w:cs="仿宋"/>
                <w:bCs/>
                <w:color w:val="auto"/>
              </w:rPr>
              <w:t>□ 服从评委会对具体获得奖项的安排</w:t>
            </w:r>
          </w:p>
          <w:p>
            <w:pPr>
              <w:widowControl w:val="0"/>
              <w:kinsoku/>
              <w:autoSpaceDN/>
              <w:spacing w:line="560" w:lineRule="exact"/>
              <w:jc w:val="both"/>
              <w:rPr>
                <w:rFonts w:ascii="仿宋" w:hAnsi="仿宋" w:eastAsia="仿宋" w:cs="仿宋"/>
                <w:bCs/>
                <w:color w:val="auto"/>
              </w:rPr>
            </w:pPr>
            <w:r>
              <w:rPr>
                <w:rFonts w:hint="eastAsia" w:ascii="仿宋" w:hAnsi="仿宋" w:eastAsia="仿宋" w:cs="仿宋"/>
                <w:bCs/>
                <w:color w:val="auto"/>
              </w:rPr>
              <w:t>□ 仅接受特定奖项，具体说明：</w:t>
            </w:r>
          </w:p>
          <w:p>
            <w:pPr>
              <w:widowControl w:val="0"/>
              <w:kinsoku/>
              <w:autoSpaceDN/>
              <w:spacing w:line="560" w:lineRule="exact"/>
              <w:jc w:val="both"/>
              <w:rPr>
                <w:rFonts w:ascii="仿宋" w:hAnsi="仿宋" w:eastAsia="仿宋" w:cs="仿宋"/>
                <w:bCs/>
                <w:color w:val="auto"/>
              </w:rPr>
            </w:pPr>
          </w:p>
          <w:p>
            <w:pPr>
              <w:widowControl w:val="0"/>
              <w:kinsoku/>
              <w:autoSpaceDN/>
              <w:spacing w:line="560" w:lineRule="exact"/>
              <w:jc w:val="both"/>
              <w:rPr>
                <w:rFonts w:ascii="仿宋" w:hAnsi="仿宋" w:eastAsia="仿宋" w:cs="仿宋"/>
                <w:bCs/>
                <w:color w:val="auto"/>
              </w:rPr>
            </w:pPr>
            <w:r>
              <w:rPr>
                <w:rFonts w:hint="eastAsia" w:ascii="仿宋" w:hAnsi="仿宋" w:eastAsia="仿宋" w:cs="仿宋"/>
                <w:bCs/>
                <w:color w:val="auto"/>
              </w:rPr>
              <w:t>——————————————————————</w:t>
            </w:r>
          </w:p>
        </w:tc>
      </w:tr>
    </w:tbl>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1243"/>
        <w:gridCol w:w="965"/>
        <w:gridCol w:w="201"/>
        <w:gridCol w:w="1373"/>
        <w:gridCol w:w="1267"/>
        <w:gridCol w:w="1745"/>
        <w:gridCol w:w="634"/>
        <w:gridCol w:w="23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150" w:type="dxa"/>
            <w:gridSpan w:val="10"/>
            <w:vAlign w:val="center"/>
          </w:tcPr>
          <w:p>
            <w:pPr>
              <w:widowControl w:val="0"/>
              <w:kinsoku/>
              <w:autoSpaceDN/>
              <w:jc w:val="center"/>
              <w:rPr>
                <w:rFonts w:ascii="仿宋" w:hAnsi="仿宋" w:eastAsia="仿宋" w:cs="仿宋"/>
                <w:b/>
                <w:color w:val="auto"/>
                <w:sz w:val="24"/>
                <w:szCs w:val="24"/>
              </w:rPr>
            </w:pPr>
            <w:r>
              <w:rPr>
                <w:rFonts w:hint="eastAsia" w:ascii="仿宋" w:hAnsi="仿宋" w:eastAsia="仿宋" w:cs="仿宋"/>
                <w:b/>
                <w:color w:val="auto"/>
                <w:sz w:val="24"/>
                <w:szCs w:val="24"/>
              </w:rPr>
              <w:t>参与社会活动</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（最高不超过</w:t>
            </w:r>
            <w:r>
              <w:rPr>
                <w:rFonts w:hint="eastAsia" w:ascii="仿宋" w:hAnsi="仿宋" w:eastAsia="仿宋" w:cs="仿宋"/>
                <w:bCs/>
                <w:color w:val="FF0000"/>
                <w:lang w:val="en-US" w:eastAsia="zh-CN"/>
              </w:rPr>
              <w:t>8</w:t>
            </w:r>
            <w:r>
              <w:rPr>
                <w:rFonts w:hint="eastAsia" w:ascii="仿宋" w:hAnsi="仿宋" w:eastAsia="仿宋" w:cs="仿宋"/>
                <w:bCs/>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101"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活动名称</w:t>
            </w:r>
          </w:p>
        </w:tc>
        <w:tc>
          <w:tcPr>
            <w:tcW w:w="2409" w:type="dxa"/>
            <w:gridSpan w:val="3"/>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主办单位</w:t>
            </w:r>
          </w:p>
        </w:tc>
        <w:tc>
          <w:tcPr>
            <w:tcW w:w="1373"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时间</w:t>
            </w:r>
          </w:p>
        </w:tc>
        <w:tc>
          <w:tcPr>
            <w:tcW w:w="3012" w:type="dxa"/>
            <w:gridSpan w:val="2"/>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地点</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（线上请注明“线上”）</w:t>
            </w:r>
          </w:p>
        </w:tc>
        <w:tc>
          <w:tcPr>
            <w:tcW w:w="3013" w:type="dxa"/>
            <w:gridSpan w:val="2"/>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类别</w:t>
            </w:r>
          </w:p>
          <w:p>
            <w:pPr>
              <w:widowControl w:val="0"/>
              <w:kinsoku/>
              <w:autoSpaceDN/>
              <w:jc w:val="center"/>
              <w:rPr>
                <w:rFonts w:ascii="仿宋" w:hAnsi="仿宋" w:eastAsia="仿宋" w:cs="仿宋"/>
                <w:bCs/>
                <w:color w:val="FF0000"/>
              </w:rPr>
            </w:pPr>
            <w:r>
              <w:rPr>
                <w:rFonts w:hint="eastAsia" w:ascii="仿宋" w:hAnsi="仿宋" w:eastAsia="仿宋" w:cs="仿宋"/>
                <w:bCs/>
                <w:color w:val="FF0000"/>
              </w:rPr>
              <w:t>（注明：单人/集体；</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集体参与需注明所属类别）</w:t>
            </w:r>
          </w:p>
        </w:tc>
        <w:tc>
          <w:tcPr>
            <w:tcW w:w="124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01" w:type="dxa"/>
            <w:vAlign w:val="center"/>
          </w:tcPr>
          <w:p>
            <w:pPr>
              <w:widowControl w:val="0"/>
              <w:kinsoku/>
              <w:autoSpaceDN/>
              <w:jc w:val="center"/>
              <w:rPr>
                <w:rFonts w:ascii="仿宋" w:hAnsi="仿宋" w:eastAsia="仿宋" w:cs="仿宋"/>
                <w:bCs/>
                <w:color w:val="auto"/>
              </w:rPr>
            </w:pPr>
          </w:p>
        </w:tc>
        <w:tc>
          <w:tcPr>
            <w:tcW w:w="2409" w:type="dxa"/>
            <w:gridSpan w:val="3"/>
            <w:vAlign w:val="center"/>
          </w:tcPr>
          <w:p>
            <w:pPr>
              <w:widowControl w:val="0"/>
              <w:kinsoku/>
              <w:autoSpaceDN/>
              <w:jc w:val="center"/>
              <w:rPr>
                <w:rFonts w:ascii="仿宋" w:hAnsi="仿宋" w:eastAsia="仿宋" w:cs="仿宋"/>
                <w:bCs/>
                <w:color w:val="auto"/>
              </w:rPr>
            </w:pPr>
          </w:p>
        </w:tc>
        <w:tc>
          <w:tcPr>
            <w:tcW w:w="1373" w:type="dxa"/>
            <w:vAlign w:val="center"/>
          </w:tcPr>
          <w:p>
            <w:pPr>
              <w:widowControl w:val="0"/>
              <w:kinsoku/>
              <w:autoSpaceDN/>
              <w:jc w:val="center"/>
              <w:rPr>
                <w:rFonts w:ascii="仿宋" w:hAnsi="仿宋" w:eastAsia="仿宋" w:cs="仿宋"/>
                <w:bCs/>
                <w:color w:val="auto"/>
              </w:rPr>
            </w:pPr>
          </w:p>
        </w:tc>
        <w:tc>
          <w:tcPr>
            <w:tcW w:w="3012" w:type="dxa"/>
            <w:gridSpan w:val="2"/>
            <w:vAlign w:val="center"/>
          </w:tcPr>
          <w:p>
            <w:pPr>
              <w:widowControl w:val="0"/>
              <w:kinsoku/>
              <w:autoSpaceDN/>
              <w:jc w:val="center"/>
              <w:rPr>
                <w:rFonts w:ascii="仿宋" w:hAnsi="仿宋" w:eastAsia="仿宋" w:cs="仿宋"/>
                <w:bCs/>
                <w:color w:val="auto"/>
              </w:rPr>
            </w:pPr>
          </w:p>
        </w:tc>
        <w:tc>
          <w:tcPr>
            <w:tcW w:w="3013" w:type="dxa"/>
            <w:gridSpan w:val="2"/>
            <w:vAlign w:val="center"/>
          </w:tcPr>
          <w:p>
            <w:pPr>
              <w:widowControl w:val="0"/>
              <w:kinsoku/>
              <w:autoSpaceDN/>
              <w:jc w:val="center"/>
              <w:rPr>
                <w:rFonts w:ascii="仿宋" w:hAnsi="仿宋" w:eastAsia="仿宋" w:cs="仿宋"/>
                <w:bCs/>
                <w:color w:val="auto"/>
              </w:rPr>
            </w:pPr>
          </w:p>
        </w:tc>
        <w:tc>
          <w:tcPr>
            <w:tcW w:w="1242" w:type="dxa"/>
            <w:vAlign w:val="center"/>
          </w:tcPr>
          <w:p>
            <w:pPr>
              <w:widowControl w:val="0"/>
              <w:kinsoku/>
              <w:autoSpaceDN/>
              <w:jc w:val="center"/>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01" w:type="dxa"/>
            <w:vAlign w:val="center"/>
          </w:tcPr>
          <w:p>
            <w:pPr>
              <w:widowControl w:val="0"/>
              <w:kinsoku/>
              <w:autoSpaceDN/>
              <w:jc w:val="center"/>
              <w:rPr>
                <w:rFonts w:ascii="仿宋" w:hAnsi="仿宋" w:eastAsia="仿宋" w:cs="仿宋"/>
                <w:bCs/>
                <w:color w:val="auto"/>
              </w:rPr>
            </w:pPr>
          </w:p>
        </w:tc>
        <w:tc>
          <w:tcPr>
            <w:tcW w:w="2409" w:type="dxa"/>
            <w:gridSpan w:val="3"/>
            <w:vAlign w:val="center"/>
          </w:tcPr>
          <w:p>
            <w:pPr>
              <w:widowControl w:val="0"/>
              <w:kinsoku/>
              <w:autoSpaceDN/>
              <w:jc w:val="center"/>
              <w:rPr>
                <w:rFonts w:ascii="仿宋" w:hAnsi="仿宋" w:eastAsia="仿宋" w:cs="仿宋"/>
                <w:bCs/>
                <w:color w:val="auto"/>
              </w:rPr>
            </w:pPr>
          </w:p>
        </w:tc>
        <w:tc>
          <w:tcPr>
            <w:tcW w:w="1373" w:type="dxa"/>
            <w:vAlign w:val="center"/>
          </w:tcPr>
          <w:p>
            <w:pPr>
              <w:widowControl w:val="0"/>
              <w:kinsoku/>
              <w:autoSpaceDN/>
              <w:jc w:val="center"/>
              <w:rPr>
                <w:rFonts w:ascii="仿宋" w:hAnsi="仿宋" w:eastAsia="仿宋" w:cs="仿宋"/>
                <w:bCs/>
                <w:color w:val="auto"/>
              </w:rPr>
            </w:pPr>
          </w:p>
        </w:tc>
        <w:tc>
          <w:tcPr>
            <w:tcW w:w="3012" w:type="dxa"/>
            <w:gridSpan w:val="2"/>
            <w:vAlign w:val="center"/>
          </w:tcPr>
          <w:p>
            <w:pPr>
              <w:widowControl w:val="0"/>
              <w:kinsoku/>
              <w:autoSpaceDN/>
              <w:jc w:val="center"/>
              <w:rPr>
                <w:rFonts w:ascii="仿宋" w:hAnsi="仿宋" w:eastAsia="仿宋" w:cs="仿宋"/>
                <w:bCs/>
                <w:color w:val="auto"/>
              </w:rPr>
            </w:pPr>
          </w:p>
        </w:tc>
        <w:tc>
          <w:tcPr>
            <w:tcW w:w="3013" w:type="dxa"/>
            <w:gridSpan w:val="2"/>
            <w:vAlign w:val="center"/>
          </w:tcPr>
          <w:p>
            <w:pPr>
              <w:widowControl w:val="0"/>
              <w:kinsoku/>
              <w:autoSpaceDN/>
              <w:jc w:val="center"/>
              <w:rPr>
                <w:rFonts w:ascii="仿宋" w:hAnsi="仿宋" w:eastAsia="仿宋" w:cs="仿宋"/>
                <w:bCs/>
                <w:color w:val="auto"/>
              </w:rPr>
            </w:pPr>
          </w:p>
        </w:tc>
        <w:tc>
          <w:tcPr>
            <w:tcW w:w="1242" w:type="dxa"/>
            <w:vAlign w:val="center"/>
          </w:tcPr>
          <w:p>
            <w:pPr>
              <w:widowControl w:val="0"/>
              <w:kinsoku/>
              <w:autoSpaceDN/>
              <w:jc w:val="center"/>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150" w:type="dxa"/>
            <w:gridSpan w:val="10"/>
            <w:vAlign w:val="center"/>
          </w:tcPr>
          <w:p>
            <w:pPr>
              <w:widowControl w:val="0"/>
              <w:kinsoku/>
              <w:autoSpaceDN/>
              <w:jc w:val="center"/>
              <w:rPr>
                <w:rFonts w:ascii="仿宋" w:hAnsi="仿宋" w:eastAsia="仿宋" w:cs="仿宋"/>
                <w:b/>
                <w:color w:val="auto"/>
                <w:sz w:val="24"/>
                <w:szCs w:val="24"/>
              </w:rPr>
            </w:pPr>
            <w:r>
              <w:rPr>
                <w:rFonts w:hint="eastAsia" w:ascii="仿宋" w:hAnsi="仿宋" w:eastAsia="仿宋" w:cs="仿宋"/>
                <w:b/>
                <w:color w:val="auto"/>
                <w:sz w:val="24"/>
                <w:szCs w:val="24"/>
              </w:rPr>
              <w:t>参与志愿服务</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（最高不超过</w:t>
            </w:r>
            <w:r>
              <w:rPr>
                <w:rFonts w:hint="eastAsia" w:ascii="仿宋" w:hAnsi="仿宋" w:eastAsia="仿宋" w:cs="仿宋"/>
                <w:bCs/>
                <w:color w:val="FF0000"/>
                <w:lang w:val="en-US" w:eastAsia="zh-CN"/>
              </w:rPr>
              <w:t>12</w:t>
            </w:r>
            <w:r>
              <w:rPr>
                <w:rFonts w:hint="eastAsia" w:ascii="仿宋" w:hAnsi="仿宋" w:eastAsia="仿宋" w:cs="仿宋"/>
                <w:bCs/>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50" w:type="dxa"/>
            <w:gridSpan w:val="6"/>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志愿服务项目名称</w:t>
            </w:r>
          </w:p>
        </w:tc>
        <w:tc>
          <w:tcPr>
            <w:tcW w:w="2379" w:type="dxa"/>
            <w:gridSpan w:val="2"/>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单项时长</w:t>
            </w:r>
          </w:p>
        </w:tc>
        <w:tc>
          <w:tcPr>
            <w:tcW w:w="2379"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总时长</w:t>
            </w:r>
          </w:p>
        </w:tc>
        <w:tc>
          <w:tcPr>
            <w:tcW w:w="124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50" w:type="dxa"/>
            <w:gridSpan w:val="6"/>
            <w:vAlign w:val="center"/>
          </w:tcPr>
          <w:p>
            <w:pPr>
              <w:widowControl w:val="0"/>
              <w:kinsoku/>
              <w:autoSpaceDN/>
              <w:jc w:val="center"/>
              <w:rPr>
                <w:rFonts w:ascii="仿宋" w:hAnsi="仿宋" w:eastAsia="仿宋" w:cs="仿宋"/>
                <w:bCs/>
                <w:color w:val="auto"/>
              </w:rPr>
            </w:pPr>
          </w:p>
        </w:tc>
        <w:tc>
          <w:tcPr>
            <w:tcW w:w="2379" w:type="dxa"/>
            <w:gridSpan w:val="2"/>
            <w:vAlign w:val="center"/>
          </w:tcPr>
          <w:p>
            <w:pPr>
              <w:widowControl w:val="0"/>
              <w:kinsoku/>
              <w:autoSpaceDN/>
              <w:jc w:val="center"/>
              <w:rPr>
                <w:rFonts w:ascii="仿宋" w:hAnsi="仿宋" w:eastAsia="仿宋" w:cs="仿宋"/>
                <w:bCs/>
                <w:color w:val="auto"/>
              </w:rPr>
            </w:pPr>
          </w:p>
        </w:tc>
        <w:tc>
          <w:tcPr>
            <w:tcW w:w="2379" w:type="dxa"/>
            <w:vMerge w:val="restart"/>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 xml:space="preserve"> </w:t>
            </w:r>
          </w:p>
        </w:tc>
        <w:tc>
          <w:tcPr>
            <w:tcW w:w="1242" w:type="dxa"/>
            <w:vMerge w:val="restart"/>
            <w:vAlign w:val="center"/>
          </w:tcPr>
          <w:p>
            <w:pPr>
              <w:widowControl w:val="0"/>
              <w:kinsoku/>
              <w:autoSpaceDN/>
              <w:jc w:val="center"/>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0" w:type="dxa"/>
            <w:gridSpan w:val="6"/>
            <w:vAlign w:val="center"/>
          </w:tcPr>
          <w:p>
            <w:pPr>
              <w:widowControl w:val="0"/>
              <w:kinsoku/>
              <w:autoSpaceDN/>
              <w:jc w:val="center"/>
              <w:rPr>
                <w:rFonts w:ascii="仿宋" w:hAnsi="仿宋" w:eastAsia="仿宋" w:cs="仿宋"/>
                <w:bCs/>
                <w:color w:val="auto"/>
              </w:rPr>
            </w:pPr>
          </w:p>
        </w:tc>
        <w:tc>
          <w:tcPr>
            <w:tcW w:w="2379" w:type="dxa"/>
            <w:gridSpan w:val="2"/>
            <w:vAlign w:val="center"/>
          </w:tcPr>
          <w:p>
            <w:pPr>
              <w:widowControl w:val="0"/>
              <w:kinsoku/>
              <w:autoSpaceDN/>
              <w:jc w:val="center"/>
              <w:rPr>
                <w:rFonts w:ascii="仿宋" w:hAnsi="仿宋" w:eastAsia="仿宋" w:cs="仿宋"/>
                <w:bCs/>
                <w:color w:val="auto"/>
              </w:rPr>
            </w:pPr>
          </w:p>
        </w:tc>
        <w:tc>
          <w:tcPr>
            <w:tcW w:w="2379" w:type="dxa"/>
            <w:vMerge w:val="continue"/>
            <w:vAlign w:val="center"/>
          </w:tcPr>
          <w:p>
            <w:pPr>
              <w:widowControl w:val="0"/>
              <w:kinsoku/>
              <w:autoSpaceDN/>
              <w:jc w:val="center"/>
              <w:rPr>
                <w:rFonts w:ascii="仿宋" w:hAnsi="仿宋" w:eastAsia="仿宋" w:cs="仿宋"/>
                <w:bCs/>
                <w:color w:val="auto"/>
              </w:rPr>
            </w:pPr>
          </w:p>
        </w:tc>
        <w:tc>
          <w:tcPr>
            <w:tcW w:w="1242" w:type="dxa"/>
            <w:vMerge w:val="continue"/>
            <w:vAlign w:val="center"/>
          </w:tcPr>
          <w:p>
            <w:pPr>
              <w:widowControl w:val="0"/>
              <w:kinsoku/>
              <w:autoSpaceDN/>
              <w:jc w:val="center"/>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50" w:type="dxa"/>
            <w:gridSpan w:val="6"/>
            <w:vAlign w:val="center"/>
          </w:tcPr>
          <w:p>
            <w:pPr>
              <w:widowControl w:val="0"/>
              <w:kinsoku/>
              <w:autoSpaceDN/>
              <w:jc w:val="center"/>
              <w:rPr>
                <w:rFonts w:ascii="仿宋" w:hAnsi="仿宋" w:eastAsia="仿宋" w:cs="仿宋"/>
                <w:bCs/>
                <w:color w:val="auto"/>
              </w:rPr>
            </w:pPr>
          </w:p>
        </w:tc>
        <w:tc>
          <w:tcPr>
            <w:tcW w:w="2379" w:type="dxa"/>
            <w:gridSpan w:val="2"/>
            <w:vAlign w:val="center"/>
          </w:tcPr>
          <w:p>
            <w:pPr>
              <w:widowControl w:val="0"/>
              <w:kinsoku/>
              <w:autoSpaceDN/>
              <w:jc w:val="center"/>
              <w:rPr>
                <w:rFonts w:ascii="仿宋" w:hAnsi="仿宋" w:eastAsia="仿宋" w:cs="仿宋"/>
                <w:bCs/>
                <w:color w:val="auto"/>
              </w:rPr>
            </w:pPr>
          </w:p>
        </w:tc>
        <w:tc>
          <w:tcPr>
            <w:tcW w:w="2379" w:type="dxa"/>
            <w:vMerge w:val="continue"/>
            <w:vAlign w:val="center"/>
          </w:tcPr>
          <w:p>
            <w:pPr>
              <w:widowControl w:val="0"/>
              <w:kinsoku/>
              <w:autoSpaceDN/>
              <w:jc w:val="center"/>
              <w:rPr>
                <w:rFonts w:ascii="仿宋" w:hAnsi="仿宋" w:eastAsia="仿宋" w:cs="仿宋"/>
                <w:bCs/>
                <w:color w:val="auto"/>
              </w:rPr>
            </w:pPr>
          </w:p>
        </w:tc>
        <w:tc>
          <w:tcPr>
            <w:tcW w:w="1242" w:type="dxa"/>
            <w:vMerge w:val="continue"/>
            <w:vAlign w:val="center"/>
          </w:tcPr>
          <w:p>
            <w:pPr>
              <w:widowControl w:val="0"/>
              <w:kinsoku/>
              <w:autoSpaceDN/>
              <w:jc w:val="center"/>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50" w:type="dxa"/>
            <w:gridSpan w:val="10"/>
            <w:vAlign w:val="center"/>
          </w:tcPr>
          <w:p>
            <w:pPr>
              <w:widowControl w:val="0"/>
              <w:kinsoku/>
              <w:autoSpaceDN/>
              <w:jc w:val="center"/>
              <w:rPr>
                <w:rFonts w:ascii="仿宋" w:hAnsi="仿宋" w:eastAsia="仿宋" w:cs="仿宋"/>
                <w:b/>
                <w:color w:val="auto"/>
                <w:sz w:val="24"/>
                <w:szCs w:val="24"/>
              </w:rPr>
            </w:pPr>
            <w:r>
              <w:rPr>
                <w:rFonts w:hint="eastAsia" w:ascii="仿宋" w:hAnsi="仿宋" w:eastAsia="仿宋" w:cs="仿宋"/>
                <w:b/>
                <w:color w:val="auto"/>
                <w:sz w:val="24"/>
                <w:szCs w:val="24"/>
              </w:rPr>
              <w:t>获得荣誉</w:t>
            </w:r>
            <w:r>
              <w:rPr>
                <w:rFonts w:hint="eastAsia" w:ascii="仿宋" w:hAnsi="仿宋" w:eastAsia="仿宋" w:cs="仿宋"/>
                <w:b/>
                <w:color w:val="auto"/>
                <w:sz w:val="24"/>
                <w:szCs w:val="24"/>
                <w:lang w:val="en-US" w:eastAsia="zh-CN"/>
              </w:rPr>
              <w:t>及</w:t>
            </w:r>
            <w:r>
              <w:rPr>
                <w:rFonts w:hint="eastAsia" w:ascii="仿宋" w:hAnsi="仿宋" w:eastAsia="仿宋" w:cs="仿宋"/>
                <w:b/>
                <w:color w:val="auto"/>
                <w:sz w:val="24"/>
                <w:szCs w:val="24"/>
              </w:rPr>
              <w:t>奖励</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（最高不超过</w:t>
            </w:r>
            <w:r>
              <w:rPr>
                <w:rFonts w:hint="eastAsia" w:ascii="仿宋" w:hAnsi="仿宋" w:eastAsia="仿宋" w:cs="仿宋"/>
                <w:bCs/>
                <w:color w:val="FF0000"/>
                <w:lang w:val="en-US" w:eastAsia="zh-CN"/>
              </w:rPr>
              <w:t>40</w:t>
            </w:r>
            <w:r>
              <w:rPr>
                <w:rFonts w:hint="eastAsia" w:ascii="仿宋" w:hAnsi="仿宋" w:eastAsia="仿宋" w:cs="仿宋"/>
                <w:bCs/>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01"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名称</w:t>
            </w:r>
          </w:p>
        </w:tc>
        <w:tc>
          <w:tcPr>
            <w:tcW w:w="2208" w:type="dxa"/>
            <w:gridSpan w:val="2"/>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认定单位</w:t>
            </w:r>
          </w:p>
        </w:tc>
        <w:tc>
          <w:tcPr>
            <w:tcW w:w="2841" w:type="dxa"/>
            <w:gridSpan w:val="3"/>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时间</w:t>
            </w:r>
          </w:p>
        </w:tc>
        <w:tc>
          <w:tcPr>
            <w:tcW w:w="2379" w:type="dxa"/>
            <w:gridSpan w:val="2"/>
            <w:vAlign w:val="center"/>
          </w:tcPr>
          <w:p>
            <w:pPr>
              <w:widowControl w:val="0"/>
              <w:kinsoku/>
              <w:autoSpaceDN/>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等级</w:t>
            </w:r>
          </w:p>
          <w:p>
            <w:pPr>
              <w:widowControl w:val="0"/>
              <w:kinsoku/>
              <w:autoSpaceDN/>
              <w:jc w:val="center"/>
              <w:rPr>
                <w:rFonts w:hint="default" w:ascii="仿宋" w:hAnsi="仿宋" w:eastAsia="仿宋" w:cs="仿宋"/>
                <w:bCs/>
                <w:color w:val="auto"/>
                <w:lang w:val="en-US" w:eastAsia="zh-CN"/>
              </w:rPr>
            </w:pPr>
            <w:r>
              <w:rPr>
                <w:rFonts w:hint="eastAsia" w:ascii="仿宋" w:hAnsi="仿宋" w:eastAsia="仿宋" w:cs="仿宋"/>
                <w:bCs/>
                <w:color w:val="FF0000"/>
                <w:lang w:val="en-US" w:eastAsia="zh-CN"/>
              </w:rPr>
              <w:t>（注明序号）</w:t>
            </w:r>
          </w:p>
        </w:tc>
        <w:tc>
          <w:tcPr>
            <w:tcW w:w="2379" w:type="dxa"/>
            <w:vAlign w:val="center"/>
          </w:tcPr>
          <w:p>
            <w:pPr>
              <w:widowControl w:val="0"/>
              <w:kinsoku/>
              <w:autoSpaceDN/>
              <w:jc w:val="center"/>
              <w:rPr>
                <w:rFonts w:hint="eastAsia" w:ascii="仿宋" w:hAnsi="仿宋" w:eastAsia="仿宋" w:cs="仿宋"/>
                <w:bCs/>
                <w:color w:val="FF0000"/>
                <w:lang w:val="en-US" w:eastAsia="zh-CN"/>
              </w:rPr>
            </w:pPr>
            <w:r>
              <w:rPr>
                <w:rFonts w:hint="eastAsia" w:ascii="仿宋" w:hAnsi="仿宋" w:eastAsia="仿宋" w:cs="仿宋"/>
                <w:bCs/>
                <w:color w:val="auto"/>
                <w:lang w:val="en-US" w:eastAsia="zh-CN"/>
              </w:rPr>
              <w:t>类别</w:t>
            </w:r>
          </w:p>
          <w:p>
            <w:pPr>
              <w:widowControl w:val="0"/>
              <w:kinsoku/>
              <w:autoSpaceDN/>
              <w:jc w:val="center"/>
              <w:rPr>
                <w:rFonts w:hint="eastAsia" w:ascii="仿宋" w:hAnsi="仿宋" w:eastAsia="仿宋" w:cs="仿宋"/>
                <w:bCs/>
                <w:color w:val="FF0000"/>
              </w:rPr>
            </w:pPr>
            <w:r>
              <w:rPr>
                <w:rFonts w:hint="eastAsia" w:ascii="仿宋" w:hAnsi="仿宋" w:eastAsia="仿宋" w:cs="仿宋"/>
                <w:bCs/>
                <w:color w:val="FF0000"/>
              </w:rPr>
              <w:t>（单人/集体；</w:t>
            </w:r>
          </w:p>
          <w:p>
            <w:pPr>
              <w:widowControl w:val="0"/>
              <w:kinsoku/>
              <w:autoSpaceDN/>
              <w:jc w:val="center"/>
              <w:rPr>
                <w:rFonts w:hint="eastAsia" w:ascii="仿宋" w:hAnsi="仿宋" w:eastAsia="仿宋" w:cs="仿宋"/>
                <w:bCs/>
                <w:color w:val="FF0000"/>
                <w:lang w:val="en-US" w:eastAsia="zh-CN"/>
              </w:rPr>
            </w:pPr>
            <w:r>
              <w:rPr>
                <w:rFonts w:hint="eastAsia" w:ascii="仿宋" w:hAnsi="仿宋" w:eastAsia="仿宋" w:cs="仿宋"/>
                <w:bCs/>
                <w:color w:val="FF0000"/>
              </w:rPr>
              <w:t>集体</w:t>
            </w:r>
            <w:r>
              <w:rPr>
                <w:rFonts w:hint="eastAsia" w:ascii="仿宋" w:hAnsi="仿宋" w:eastAsia="仿宋" w:cs="仿宋"/>
                <w:bCs/>
                <w:color w:val="FF0000"/>
                <w:lang w:val="en-US" w:eastAsia="zh-CN"/>
              </w:rPr>
              <w:t>需</w:t>
            </w:r>
            <w:r>
              <w:rPr>
                <w:rFonts w:hint="eastAsia" w:ascii="仿宋" w:hAnsi="仿宋" w:eastAsia="仿宋" w:cs="仿宋"/>
                <w:bCs/>
                <w:color w:val="FF0000"/>
              </w:rPr>
              <w:t>注明所属类别）</w:t>
            </w:r>
          </w:p>
        </w:tc>
        <w:tc>
          <w:tcPr>
            <w:tcW w:w="124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101" w:type="dxa"/>
            <w:vAlign w:val="center"/>
          </w:tcPr>
          <w:p>
            <w:pPr>
              <w:widowControl w:val="0"/>
              <w:kinsoku/>
              <w:autoSpaceDN/>
              <w:jc w:val="center"/>
              <w:rPr>
                <w:rFonts w:ascii="仿宋" w:hAnsi="仿宋" w:eastAsia="仿宋" w:cs="仿宋"/>
                <w:bCs/>
                <w:color w:val="auto"/>
              </w:rPr>
            </w:pPr>
          </w:p>
        </w:tc>
        <w:tc>
          <w:tcPr>
            <w:tcW w:w="2208" w:type="dxa"/>
            <w:gridSpan w:val="2"/>
            <w:vAlign w:val="center"/>
          </w:tcPr>
          <w:p>
            <w:pPr>
              <w:widowControl w:val="0"/>
              <w:kinsoku/>
              <w:autoSpaceDN/>
              <w:jc w:val="center"/>
              <w:rPr>
                <w:rFonts w:ascii="仿宋" w:hAnsi="仿宋" w:eastAsia="仿宋" w:cs="仿宋"/>
                <w:bCs/>
                <w:color w:val="auto"/>
              </w:rPr>
            </w:pPr>
          </w:p>
        </w:tc>
        <w:tc>
          <w:tcPr>
            <w:tcW w:w="2841" w:type="dxa"/>
            <w:gridSpan w:val="3"/>
            <w:vAlign w:val="center"/>
          </w:tcPr>
          <w:p>
            <w:pPr>
              <w:widowControl w:val="0"/>
              <w:kinsoku/>
              <w:autoSpaceDN/>
              <w:jc w:val="center"/>
              <w:rPr>
                <w:rFonts w:ascii="仿宋" w:hAnsi="仿宋" w:eastAsia="仿宋" w:cs="仿宋"/>
                <w:bCs/>
                <w:color w:val="auto"/>
              </w:rPr>
            </w:pPr>
          </w:p>
        </w:tc>
        <w:tc>
          <w:tcPr>
            <w:tcW w:w="2379" w:type="dxa"/>
            <w:gridSpan w:val="2"/>
            <w:vAlign w:val="center"/>
          </w:tcPr>
          <w:p>
            <w:pPr>
              <w:widowControl w:val="0"/>
              <w:kinsoku/>
              <w:autoSpaceDN/>
              <w:jc w:val="center"/>
              <w:rPr>
                <w:rFonts w:hint="default" w:ascii="仿宋" w:hAnsi="仿宋" w:eastAsia="仿宋" w:cs="仿宋"/>
                <w:bCs/>
                <w:color w:val="auto"/>
                <w:lang w:val="en-US" w:eastAsia="zh-CN"/>
              </w:rPr>
            </w:pPr>
            <w:r>
              <w:rPr>
                <w:rFonts w:hint="eastAsia" w:ascii="仿宋" w:hAnsi="仿宋" w:eastAsia="仿宋" w:cs="仿宋"/>
                <w:bCs/>
                <w:color w:val="FF0000"/>
                <w:lang w:val="en-US" w:eastAsia="zh-CN"/>
              </w:rPr>
              <w:t>例：6. 国家级</w:t>
            </w:r>
          </w:p>
        </w:tc>
        <w:tc>
          <w:tcPr>
            <w:tcW w:w="2379" w:type="dxa"/>
            <w:vAlign w:val="center"/>
          </w:tcPr>
          <w:p>
            <w:pPr>
              <w:widowControl w:val="0"/>
              <w:kinsoku/>
              <w:autoSpaceDN/>
              <w:jc w:val="center"/>
              <w:rPr>
                <w:rFonts w:hint="default" w:ascii="仿宋" w:hAnsi="仿宋" w:eastAsia="仿宋" w:cs="仿宋"/>
                <w:bCs/>
                <w:color w:val="auto"/>
                <w:lang w:val="en-US" w:eastAsia="zh-CN"/>
              </w:rPr>
            </w:pPr>
            <w:r>
              <w:rPr>
                <w:rFonts w:hint="eastAsia" w:ascii="仿宋" w:hAnsi="仿宋" w:eastAsia="仿宋" w:cs="仿宋"/>
                <w:bCs/>
                <w:color w:val="FF0000"/>
                <w:lang w:val="en-US" w:eastAsia="zh-CN"/>
              </w:rPr>
              <w:t>例：集体；负责人</w:t>
            </w:r>
          </w:p>
        </w:tc>
        <w:tc>
          <w:tcPr>
            <w:tcW w:w="1242" w:type="dxa"/>
            <w:vAlign w:val="center"/>
          </w:tcPr>
          <w:p>
            <w:pPr>
              <w:widowControl w:val="0"/>
              <w:kinsoku/>
              <w:autoSpaceDN/>
              <w:jc w:val="center"/>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50" w:type="dxa"/>
            <w:gridSpan w:val="10"/>
            <w:vAlign w:val="center"/>
          </w:tcPr>
          <w:p>
            <w:pPr>
              <w:widowControl w:val="0"/>
              <w:kinsoku/>
              <w:autoSpaceDN/>
              <w:jc w:val="center"/>
              <w:rPr>
                <w:rFonts w:ascii="仿宋" w:hAnsi="仿宋" w:eastAsia="仿宋" w:cs="仿宋"/>
                <w:b/>
                <w:color w:val="auto"/>
                <w:sz w:val="24"/>
                <w:szCs w:val="24"/>
              </w:rPr>
            </w:pPr>
            <w:r>
              <w:rPr>
                <w:rFonts w:hint="eastAsia" w:ascii="仿宋" w:hAnsi="仿宋" w:eastAsia="仿宋" w:cs="仿宋"/>
                <w:b/>
                <w:color w:val="auto"/>
                <w:sz w:val="24"/>
                <w:szCs w:val="24"/>
              </w:rPr>
              <w:t>学生工作任职</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（最高不超过</w:t>
            </w:r>
            <w:r>
              <w:rPr>
                <w:rFonts w:hint="eastAsia" w:ascii="仿宋" w:hAnsi="仿宋" w:eastAsia="仿宋" w:cs="仿宋"/>
                <w:bCs/>
                <w:color w:val="FF0000"/>
                <w:lang w:val="en-US" w:eastAsia="zh-CN"/>
              </w:rPr>
              <w:t>40</w:t>
            </w:r>
            <w:r>
              <w:rPr>
                <w:rFonts w:hint="eastAsia" w:ascii="仿宋" w:hAnsi="仿宋" w:eastAsia="仿宋" w:cs="仿宋"/>
                <w:bCs/>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344" w:type="dxa"/>
            <w:gridSpan w:val="2"/>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担任职务</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（院外任职请提供证明材料附后）</w:t>
            </w:r>
          </w:p>
        </w:tc>
        <w:tc>
          <w:tcPr>
            <w:tcW w:w="3806" w:type="dxa"/>
            <w:gridSpan w:val="4"/>
            <w:vAlign w:val="center"/>
          </w:tcPr>
          <w:p>
            <w:pPr>
              <w:widowControl w:val="0"/>
              <w:kinsoku/>
              <w:autoSpaceDN/>
              <w:jc w:val="center"/>
              <w:rPr>
                <w:rFonts w:hint="eastAsia" w:ascii="仿宋" w:hAnsi="仿宋" w:eastAsia="仿宋" w:cs="仿宋"/>
                <w:bCs/>
                <w:color w:val="FF0000"/>
                <w:lang w:val="en-US" w:eastAsia="zh-CN"/>
              </w:rPr>
            </w:pPr>
            <w:r>
              <w:rPr>
                <w:rFonts w:hint="eastAsia" w:ascii="仿宋" w:hAnsi="仿宋" w:eastAsia="仿宋" w:cs="仿宋"/>
                <w:bCs/>
                <w:color w:val="auto"/>
              </w:rPr>
              <w:t>起止时间</w:t>
            </w:r>
          </w:p>
        </w:tc>
        <w:tc>
          <w:tcPr>
            <w:tcW w:w="2379" w:type="dxa"/>
            <w:gridSpan w:val="2"/>
            <w:vAlign w:val="center"/>
          </w:tcPr>
          <w:p>
            <w:pPr>
              <w:widowControl w:val="0"/>
              <w:kinsoku/>
              <w:autoSpaceDN/>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类别</w:t>
            </w:r>
          </w:p>
          <w:p>
            <w:pPr>
              <w:widowControl w:val="0"/>
              <w:kinsoku/>
              <w:autoSpaceDN/>
              <w:jc w:val="center"/>
              <w:rPr>
                <w:rFonts w:ascii="仿宋" w:hAnsi="仿宋" w:eastAsia="仿宋" w:cs="仿宋"/>
                <w:bCs/>
                <w:color w:val="auto"/>
              </w:rPr>
            </w:pPr>
            <w:r>
              <w:rPr>
                <w:rFonts w:hint="eastAsia" w:ascii="仿宋" w:hAnsi="仿宋" w:eastAsia="仿宋" w:cs="仿宋"/>
                <w:bCs/>
                <w:color w:val="FF0000"/>
                <w:lang w:val="en-US" w:eastAsia="zh-CN"/>
              </w:rPr>
              <w:t>（注明1-6）</w:t>
            </w:r>
          </w:p>
        </w:tc>
        <w:tc>
          <w:tcPr>
            <w:tcW w:w="2379"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lang w:val="en-US" w:eastAsia="zh-CN"/>
              </w:rPr>
              <w:t>单项</w:t>
            </w:r>
            <w:r>
              <w:rPr>
                <w:rFonts w:hint="eastAsia" w:ascii="仿宋" w:hAnsi="仿宋" w:eastAsia="仿宋" w:cs="仿宋"/>
                <w:bCs/>
                <w:color w:val="auto"/>
              </w:rPr>
              <w:t>计分</w:t>
            </w:r>
          </w:p>
          <w:p>
            <w:pPr>
              <w:widowControl w:val="0"/>
              <w:kinsoku/>
              <w:autoSpaceDN/>
              <w:jc w:val="center"/>
              <w:rPr>
                <w:rFonts w:ascii="仿宋" w:hAnsi="仿宋" w:eastAsia="仿宋" w:cs="仿宋"/>
                <w:bCs/>
                <w:color w:val="auto"/>
              </w:rPr>
            </w:pPr>
            <w:r>
              <w:rPr>
                <w:rFonts w:hint="eastAsia" w:ascii="仿宋" w:hAnsi="仿宋" w:eastAsia="仿宋" w:cs="仿宋"/>
                <w:bCs/>
                <w:color w:val="FF0000"/>
              </w:rPr>
              <w:t>（同一体系取最高）</w:t>
            </w:r>
          </w:p>
        </w:tc>
        <w:tc>
          <w:tcPr>
            <w:tcW w:w="124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344" w:type="dxa"/>
            <w:gridSpan w:val="2"/>
            <w:vAlign w:val="center"/>
          </w:tcPr>
          <w:p>
            <w:pPr>
              <w:widowControl w:val="0"/>
              <w:kinsoku/>
              <w:autoSpaceDN/>
              <w:jc w:val="center"/>
              <w:rPr>
                <w:rFonts w:hint="eastAsia" w:ascii="仿宋" w:hAnsi="仿宋" w:eastAsia="仿宋" w:cs="仿宋"/>
                <w:bCs/>
                <w:color w:val="FF0000"/>
              </w:rPr>
            </w:pPr>
          </w:p>
        </w:tc>
        <w:tc>
          <w:tcPr>
            <w:tcW w:w="3806" w:type="dxa"/>
            <w:gridSpan w:val="4"/>
            <w:vAlign w:val="center"/>
          </w:tcPr>
          <w:p>
            <w:pPr>
              <w:widowControl w:val="0"/>
              <w:kinsoku/>
              <w:autoSpaceDN/>
              <w:jc w:val="center"/>
              <w:rPr>
                <w:rFonts w:hint="eastAsia" w:ascii="仿宋" w:hAnsi="仿宋" w:eastAsia="仿宋" w:cs="仿宋"/>
                <w:bCs/>
                <w:color w:val="auto"/>
              </w:rPr>
            </w:pPr>
          </w:p>
        </w:tc>
        <w:tc>
          <w:tcPr>
            <w:tcW w:w="2379" w:type="dxa"/>
            <w:gridSpan w:val="2"/>
            <w:vAlign w:val="center"/>
          </w:tcPr>
          <w:p>
            <w:pPr>
              <w:widowControl w:val="0"/>
              <w:kinsoku/>
              <w:autoSpaceDN/>
              <w:jc w:val="center"/>
              <w:rPr>
                <w:rFonts w:hint="eastAsia" w:ascii="仿宋" w:hAnsi="仿宋" w:eastAsia="仿宋" w:cs="仿宋"/>
                <w:bCs/>
                <w:color w:val="FF0000"/>
                <w:lang w:val="en-US" w:eastAsia="zh-CN"/>
              </w:rPr>
            </w:pPr>
          </w:p>
        </w:tc>
        <w:tc>
          <w:tcPr>
            <w:tcW w:w="2379" w:type="dxa"/>
            <w:vAlign w:val="center"/>
          </w:tcPr>
          <w:p>
            <w:pPr>
              <w:widowControl w:val="0"/>
              <w:kinsoku/>
              <w:autoSpaceDN/>
              <w:jc w:val="center"/>
              <w:rPr>
                <w:rFonts w:hint="eastAsia" w:ascii="仿宋" w:hAnsi="仿宋" w:eastAsia="仿宋" w:cs="仿宋"/>
                <w:bCs/>
                <w:color w:val="FF0000"/>
              </w:rPr>
            </w:pPr>
          </w:p>
        </w:tc>
        <w:tc>
          <w:tcPr>
            <w:tcW w:w="1242" w:type="dxa"/>
            <w:vAlign w:val="center"/>
          </w:tcPr>
          <w:p>
            <w:pPr>
              <w:widowControl w:val="0"/>
              <w:kinsoku/>
              <w:autoSpaceDN/>
              <w:jc w:val="center"/>
              <w:rPr>
                <w:rFonts w:hint="eastAsia"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344" w:type="dxa"/>
            <w:gridSpan w:val="2"/>
            <w:vAlign w:val="center"/>
          </w:tcPr>
          <w:p>
            <w:pPr>
              <w:widowControl w:val="0"/>
              <w:kinsoku/>
              <w:autoSpaceDN/>
              <w:jc w:val="center"/>
              <w:rPr>
                <w:rFonts w:ascii="仿宋" w:hAnsi="仿宋" w:eastAsia="仿宋" w:cs="仿宋"/>
                <w:bCs/>
                <w:color w:val="auto"/>
              </w:rPr>
            </w:pPr>
          </w:p>
        </w:tc>
        <w:tc>
          <w:tcPr>
            <w:tcW w:w="3806" w:type="dxa"/>
            <w:gridSpan w:val="4"/>
            <w:vAlign w:val="center"/>
          </w:tcPr>
          <w:p>
            <w:pPr>
              <w:widowControl w:val="0"/>
              <w:kinsoku/>
              <w:autoSpaceDN/>
              <w:jc w:val="center"/>
              <w:rPr>
                <w:rFonts w:ascii="仿宋" w:hAnsi="仿宋" w:eastAsia="仿宋" w:cs="仿宋"/>
                <w:bCs/>
                <w:color w:val="auto"/>
              </w:rPr>
            </w:pPr>
          </w:p>
        </w:tc>
        <w:tc>
          <w:tcPr>
            <w:tcW w:w="2379" w:type="dxa"/>
            <w:gridSpan w:val="2"/>
            <w:vAlign w:val="center"/>
          </w:tcPr>
          <w:p>
            <w:pPr>
              <w:widowControl w:val="0"/>
              <w:kinsoku/>
              <w:autoSpaceDN/>
              <w:jc w:val="center"/>
              <w:rPr>
                <w:rFonts w:hint="default" w:ascii="仿宋" w:hAnsi="仿宋" w:eastAsia="仿宋" w:cs="仿宋"/>
                <w:bCs/>
                <w:color w:val="auto"/>
                <w:lang w:val="en-US" w:eastAsia="zh-CN"/>
              </w:rPr>
            </w:pPr>
            <w:r>
              <w:rPr>
                <w:rFonts w:hint="eastAsia" w:ascii="仿宋" w:hAnsi="仿宋" w:eastAsia="仿宋" w:cs="仿宋"/>
                <w:bCs/>
                <w:color w:val="FF0000"/>
                <w:lang w:val="en-US" w:eastAsia="zh-CN"/>
              </w:rPr>
              <w:t>例：（1）</w:t>
            </w:r>
          </w:p>
        </w:tc>
        <w:tc>
          <w:tcPr>
            <w:tcW w:w="2379" w:type="dxa"/>
            <w:vAlign w:val="center"/>
          </w:tcPr>
          <w:p>
            <w:pPr>
              <w:widowControl w:val="0"/>
              <w:kinsoku/>
              <w:autoSpaceDN/>
              <w:jc w:val="center"/>
              <w:rPr>
                <w:rFonts w:ascii="仿宋" w:hAnsi="仿宋" w:eastAsia="仿宋" w:cs="仿宋"/>
                <w:bCs/>
                <w:color w:val="FF0000"/>
              </w:rPr>
            </w:pPr>
          </w:p>
        </w:tc>
        <w:tc>
          <w:tcPr>
            <w:tcW w:w="1242" w:type="dxa"/>
            <w:vAlign w:val="center"/>
          </w:tcPr>
          <w:p>
            <w:pPr>
              <w:widowControl w:val="0"/>
              <w:kinsoku/>
              <w:autoSpaceDN/>
              <w:jc w:val="center"/>
              <w:rPr>
                <w:rFonts w:ascii="仿宋" w:hAnsi="仿宋" w:eastAsia="仿宋" w:cs="仿宋"/>
                <w:bCs/>
                <w:color w:val="auto"/>
              </w:rPr>
            </w:pPr>
          </w:p>
        </w:tc>
      </w:tr>
    </w:tbl>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4"/>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50" w:type="dxa"/>
            <w:gridSpan w:val="2"/>
            <w:vAlign w:val="center"/>
          </w:tcPr>
          <w:p>
            <w:pPr>
              <w:widowControl w:val="0"/>
              <w:kinsoku/>
              <w:autoSpaceDN/>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学术创新能力</w:t>
            </w:r>
          </w:p>
          <w:p>
            <w:pPr>
              <w:widowControl w:val="0"/>
              <w:kinsoku/>
              <w:autoSpaceDN/>
              <w:jc w:val="center"/>
              <w:rPr>
                <w:rFonts w:ascii="宋体" w:hAnsi="宋体" w:eastAsia="宋体"/>
                <w:color w:val="auto"/>
                <w:sz w:val="24"/>
                <w:szCs w:val="24"/>
              </w:rPr>
            </w:pPr>
            <w:r>
              <w:rPr>
                <w:rFonts w:hint="eastAsia" w:ascii="仿宋" w:hAnsi="仿宋" w:eastAsia="仿宋" w:cs="仿宋"/>
                <w:bCs/>
                <w:color w:val="FF0000"/>
              </w:rPr>
              <w:t>（最高不超过</w:t>
            </w:r>
            <w:r>
              <w:rPr>
                <w:rFonts w:hint="eastAsia" w:ascii="仿宋" w:hAnsi="仿宋" w:eastAsia="仿宋" w:cs="仿宋"/>
                <w:bCs/>
                <w:color w:val="FF0000"/>
                <w:lang w:val="en-US" w:eastAsia="zh-CN"/>
              </w:rPr>
              <w:t>5</w:t>
            </w:r>
            <w:r>
              <w:rPr>
                <w:rFonts w:hint="eastAsia" w:ascii="仿宋" w:hAnsi="仿宋" w:eastAsia="仿宋" w:cs="仿宋"/>
                <w:bCs/>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104" w:type="dxa"/>
            <w:vAlign w:val="center"/>
          </w:tcPr>
          <w:p>
            <w:pPr>
              <w:widowControl w:val="0"/>
              <w:kinsoku/>
              <w:autoSpaceDN/>
              <w:jc w:val="center"/>
              <w:rPr>
                <w:rFonts w:ascii="宋体" w:hAnsi="宋体" w:eastAsia="宋体"/>
                <w:b/>
                <w:color w:val="auto"/>
                <w:sz w:val="24"/>
                <w:szCs w:val="24"/>
              </w:rPr>
            </w:pPr>
            <w:r>
              <w:rPr>
                <w:rFonts w:hint="eastAsia" w:ascii="仿宋" w:hAnsi="仿宋" w:eastAsia="仿宋" w:cs="仿宋"/>
                <w:bCs/>
                <w:color w:val="auto"/>
              </w:rPr>
              <w:t>代表性学术成果</w:t>
            </w:r>
          </w:p>
        </w:tc>
        <w:tc>
          <w:tcPr>
            <w:tcW w:w="7046" w:type="dxa"/>
            <w:vAlign w:val="center"/>
          </w:tcPr>
          <w:p>
            <w:pPr>
              <w:widowControl w:val="0"/>
              <w:kinsoku/>
              <w:autoSpaceDN/>
              <w:jc w:val="center"/>
              <w:rPr>
                <w:rFonts w:ascii="宋体" w:hAnsi="宋体" w:eastAsia="宋体"/>
                <w:color w:val="auto"/>
                <w:sz w:val="24"/>
                <w:szCs w:val="24"/>
              </w:rPr>
            </w:pPr>
            <w:r>
              <w:rPr>
                <w:rFonts w:hint="eastAsia" w:ascii="仿宋" w:hAnsi="仿宋" w:eastAsia="仿宋" w:cs="仿宋"/>
                <w:bCs/>
                <w:color w:val="auto"/>
              </w:rPr>
              <w:t>学科竞赛情况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104" w:type="dxa"/>
            <w:vAlign w:val="center"/>
          </w:tcPr>
          <w:p>
            <w:pPr>
              <w:widowControl w:val="0"/>
              <w:kinsoku/>
              <w:autoSpaceDN/>
              <w:jc w:val="center"/>
              <w:rPr>
                <w:color w:val="auto"/>
              </w:rPr>
            </w:pPr>
          </w:p>
        </w:tc>
        <w:tc>
          <w:tcPr>
            <w:tcW w:w="7046" w:type="dxa"/>
            <w:vAlign w:val="center"/>
          </w:tcPr>
          <w:p>
            <w:pPr>
              <w:widowControl w:val="0"/>
              <w:kinsoku/>
              <w:autoSpaceDN/>
              <w:jc w:val="center"/>
              <w:rPr>
                <w:color w:val="auto"/>
              </w:rPr>
            </w:pPr>
          </w:p>
        </w:tc>
      </w:tr>
    </w:tbl>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2"/>
        <w:gridCol w:w="3523"/>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50" w:type="dxa"/>
            <w:gridSpan w:val="4"/>
            <w:vAlign w:val="center"/>
          </w:tcPr>
          <w:p>
            <w:pPr>
              <w:widowControl w:val="0"/>
              <w:kinsoku/>
              <w:autoSpaceDN/>
              <w:jc w:val="center"/>
              <w:rPr>
                <w:rFonts w:ascii="仿宋" w:hAnsi="仿宋" w:eastAsia="仿宋" w:cs="仿宋"/>
                <w:b/>
                <w:color w:val="auto"/>
                <w:sz w:val="24"/>
                <w:szCs w:val="24"/>
              </w:rPr>
            </w:pPr>
            <w:r>
              <w:rPr>
                <w:rFonts w:hint="eastAsia" w:ascii="仿宋" w:hAnsi="仿宋" w:eastAsia="仿宋" w:cs="仿宋"/>
                <w:b/>
                <w:color w:val="auto"/>
                <w:sz w:val="24"/>
                <w:szCs w:val="24"/>
              </w:rPr>
              <w:t>评审栏</w:t>
            </w:r>
          </w:p>
          <w:p>
            <w:pPr>
              <w:widowControl w:val="0"/>
              <w:kinsoku/>
              <w:autoSpaceDN/>
              <w:jc w:val="center"/>
              <w:rPr>
                <w:rFonts w:ascii="仿宋" w:hAnsi="仿宋" w:eastAsia="仿宋" w:cs="仿宋"/>
                <w:b/>
                <w:color w:val="auto"/>
                <w:sz w:val="24"/>
                <w:szCs w:val="24"/>
              </w:rPr>
            </w:pPr>
            <w:r>
              <w:rPr>
                <w:rFonts w:hint="eastAsia" w:ascii="仿宋" w:hAnsi="仿宋" w:eastAsia="仿宋" w:cs="仿宋"/>
                <w:bCs/>
                <w:color w:val="auto"/>
              </w:rPr>
              <w:t>（学生请勿填写）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5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加权平均成绩</w:t>
            </w:r>
          </w:p>
        </w:tc>
        <w:tc>
          <w:tcPr>
            <w:tcW w:w="3552"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lang w:val="en-US" w:eastAsia="zh-CN"/>
              </w:rPr>
              <w:t>加权</w:t>
            </w:r>
            <w:r>
              <w:rPr>
                <w:rFonts w:hint="eastAsia" w:ascii="仿宋" w:hAnsi="仿宋" w:eastAsia="仿宋" w:cs="仿宋"/>
                <w:bCs/>
                <w:color w:val="auto"/>
              </w:rPr>
              <w:t>社会</w:t>
            </w:r>
            <w:r>
              <w:rPr>
                <w:rFonts w:hint="eastAsia" w:ascii="仿宋" w:hAnsi="仿宋" w:eastAsia="仿宋" w:cs="仿宋"/>
                <w:bCs/>
                <w:color w:val="auto"/>
                <w:lang w:val="en-US" w:eastAsia="zh-CN"/>
              </w:rPr>
              <w:t>活动及</w:t>
            </w:r>
            <w:r>
              <w:rPr>
                <w:rFonts w:hint="eastAsia" w:ascii="仿宋" w:hAnsi="仿宋" w:eastAsia="仿宋" w:cs="仿宋"/>
                <w:bCs/>
                <w:color w:val="auto"/>
              </w:rPr>
              <w:t>学生工作成绩</w:t>
            </w:r>
          </w:p>
        </w:tc>
        <w:tc>
          <w:tcPr>
            <w:tcW w:w="3523"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学科竞赛及科研活动成绩</w:t>
            </w:r>
          </w:p>
        </w:tc>
        <w:tc>
          <w:tcPr>
            <w:tcW w:w="3523" w:type="dxa"/>
            <w:vAlign w:val="center"/>
          </w:tcPr>
          <w:p>
            <w:pPr>
              <w:widowControl w:val="0"/>
              <w:kinsoku/>
              <w:autoSpaceDN/>
              <w:jc w:val="center"/>
              <w:rPr>
                <w:rFonts w:ascii="仿宋" w:hAnsi="仿宋" w:eastAsia="仿宋" w:cs="仿宋"/>
                <w:bCs/>
                <w:color w:val="auto"/>
              </w:rPr>
            </w:pPr>
            <w:r>
              <w:rPr>
                <w:rFonts w:hint="eastAsia" w:ascii="仿宋" w:hAnsi="仿宋" w:eastAsia="仿宋" w:cs="仿宋"/>
                <w:bCs/>
                <w:color w:val="auto"/>
              </w:rPr>
              <w:t>答辩成绩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552" w:type="dxa"/>
            <w:vAlign w:val="center"/>
          </w:tcPr>
          <w:p>
            <w:pPr>
              <w:widowControl w:val="0"/>
              <w:kinsoku/>
              <w:autoSpaceDN/>
              <w:jc w:val="center"/>
              <w:rPr>
                <w:color w:val="auto"/>
              </w:rPr>
            </w:pPr>
          </w:p>
        </w:tc>
        <w:tc>
          <w:tcPr>
            <w:tcW w:w="3552" w:type="dxa"/>
            <w:vAlign w:val="center"/>
          </w:tcPr>
          <w:p>
            <w:pPr>
              <w:widowControl w:val="0"/>
              <w:kinsoku/>
              <w:autoSpaceDN/>
              <w:jc w:val="center"/>
              <w:rPr>
                <w:color w:val="auto"/>
              </w:rPr>
            </w:pPr>
          </w:p>
        </w:tc>
        <w:tc>
          <w:tcPr>
            <w:tcW w:w="3523" w:type="dxa"/>
            <w:vAlign w:val="center"/>
          </w:tcPr>
          <w:p>
            <w:pPr>
              <w:widowControl w:val="0"/>
              <w:kinsoku/>
              <w:autoSpaceDN/>
              <w:jc w:val="center"/>
              <w:rPr>
                <w:color w:val="auto"/>
              </w:rPr>
            </w:pPr>
          </w:p>
        </w:tc>
        <w:tc>
          <w:tcPr>
            <w:tcW w:w="3523" w:type="dxa"/>
            <w:vAlign w:val="center"/>
          </w:tcPr>
          <w:p>
            <w:pPr>
              <w:widowControl w:val="0"/>
              <w:kinsoku/>
              <w:autoSpaceDN/>
              <w:jc w:val="center"/>
              <w:rPr>
                <w:color w:val="auto"/>
              </w:rPr>
            </w:pPr>
          </w:p>
        </w:tc>
      </w:tr>
    </w:tbl>
    <w:p>
      <w:pPr>
        <w:widowControl w:val="0"/>
        <w:kinsoku/>
        <w:autoSpaceDN/>
        <w:spacing w:line="56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注：</w:t>
      </w:r>
    </w:p>
    <w:p>
      <w:pPr>
        <w:keepNext w:val="0"/>
        <w:keepLines w:val="0"/>
        <w:pageBreakBefore w:val="0"/>
        <w:widowControl w:val="0"/>
        <w:numPr>
          <w:ilvl w:val="0"/>
          <w:numId w:val="8"/>
        </w:numPr>
        <w:kinsoku/>
        <w:wordWrap/>
        <w:overflowPunct/>
        <w:topLinePunct w:val="0"/>
        <w:autoSpaceDE w:val="0"/>
        <w:autoSpaceDN/>
        <w:bidi w:val="0"/>
        <w:adjustRightInd w:val="0"/>
        <w:snapToGrid w:val="0"/>
        <w:spacing w:line="400" w:lineRule="exact"/>
        <w:ind w:left="0" w:leftChars="0" w:firstLine="0" w:firstLineChars="0"/>
        <w:textAlignment w:val="baseline"/>
        <w:rPr>
          <w:rFonts w:hint="eastAsia" w:ascii="仿宋" w:hAnsi="仿宋" w:eastAsia="仿宋"/>
          <w:color w:val="auto"/>
          <w:sz w:val="24"/>
          <w:szCs w:val="24"/>
        </w:rPr>
      </w:pPr>
      <w:r>
        <w:rPr>
          <w:rFonts w:hint="eastAsia" w:ascii="仿宋" w:hAnsi="仿宋" w:eastAsia="仿宋"/>
          <w:color w:val="auto"/>
          <w:sz w:val="24"/>
          <w:szCs w:val="24"/>
        </w:rPr>
        <w:t>如现有</w:t>
      </w:r>
      <w:r>
        <w:rPr>
          <w:rFonts w:ascii="仿宋" w:hAnsi="仿宋" w:eastAsia="仿宋"/>
          <w:color w:val="auto"/>
          <w:sz w:val="24"/>
          <w:szCs w:val="24"/>
        </w:rPr>
        <w:t>表格不够，可自行添加行</w:t>
      </w:r>
      <w:r>
        <w:rPr>
          <w:rFonts w:hint="eastAsia" w:ascii="仿宋" w:hAnsi="仿宋" w:eastAsia="仿宋"/>
          <w:color w:val="auto"/>
          <w:sz w:val="24"/>
          <w:szCs w:val="24"/>
        </w:rPr>
        <w:t>，相关纸质证明材料需附后（如：奖状、工作证明、第二课堂志愿服务时长截图等）</w:t>
      </w:r>
    </w:p>
    <w:p>
      <w:pPr>
        <w:keepNext w:val="0"/>
        <w:keepLines w:val="0"/>
        <w:pageBreakBefore w:val="0"/>
        <w:widowControl w:val="0"/>
        <w:numPr>
          <w:ilvl w:val="0"/>
          <w:numId w:val="8"/>
        </w:numPr>
        <w:kinsoku/>
        <w:wordWrap/>
        <w:overflowPunct/>
        <w:topLinePunct w:val="0"/>
        <w:autoSpaceDE w:val="0"/>
        <w:autoSpaceDN/>
        <w:bidi w:val="0"/>
        <w:adjustRightInd w:val="0"/>
        <w:snapToGrid w:val="0"/>
        <w:spacing w:line="400" w:lineRule="exact"/>
        <w:ind w:left="0" w:leftChars="0" w:firstLine="0" w:firstLineChars="0"/>
        <w:textAlignment w:val="baseline"/>
        <w:rPr>
          <w:rFonts w:ascii="仿宋_GB2312" w:hAnsi="仿宋" w:eastAsia="仿宋_GB2312" w:cs="仿宋"/>
          <w:spacing w:val="-2"/>
          <w:sz w:val="32"/>
          <w:szCs w:val="32"/>
        </w:rPr>
      </w:pPr>
      <w:r>
        <w:rPr>
          <w:rFonts w:hint="eastAsia" w:ascii="仿宋" w:hAnsi="仿宋" w:eastAsia="仿宋"/>
          <w:color w:val="auto"/>
          <w:sz w:val="24"/>
          <w:szCs w:val="24"/>
          <w:lang w:val="en-US" w:eastAsia="zh-CN"/>
        </w:rPr>
        <w:t>表格中红字部分为填写规范，填写完毕可自行删除；除评审栏外，所有空格均由学生本人填写。</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B76DAB-5935-44B7-A4AB-02945585C0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C3F7EF2-23CF-4D63-B65C-85D5524F851C}"/>
  </w:font>
  <w:font w:name="方正小标宋简体">
    <w:panose1 w:val="02000000000000000000"/>
    <w:charset w:val="86"/>
    <w:family w:val="script"/>
    <w:pitch w:val="default"/>
    <w:sig w:usb0="00000001" w:usb1="08000000" w:usb2="00000000" w:usb3="00000000" w:csb0="00040000" w:csb1="00000000"/>
    <w:embedRegular r:id="rId3" w:fontKey="{1C6175B8-353C-41B9-9292-3D9C6D7341EC}"/>
  </w:font>
  <w:font w:name="仿宋_GB2312">
    <w:panose1 w:val="02010609030101010101"/>
    <w:charset w:val="86"/>
    <w:family w:val="modern"/>
    <w:pitch w:val="default"/>
    <w:sig w:usb0="00000001" w:usb1="080E0000" w:usb2="00000000" w:usb3="00000000" w:csb0="00040000" w:csb1="00000000"/>
    <w:embedRegular r:id="rId4" w:fontKey="{EFB5EBDA-C106-418E-B1D7-9C62F204D170}"/>
  </w:font>
  <w:font w:name="仿宋">
    <w:panose1 w:val="02010609060101010101"/>
    <w:charset w:val="86"/>
    <w:family w:val="modern"/>
    <w:pitch w:val="default"/>
    <w:sig w:usb0="800002BF" w:usb1="38CF7CFA" w:usb2="00000016" w:usb3="00000000" w:csb0="00040001" w:csb1="00000000"/>
    <w:embedRegular r:id="rId5" w:fontKey="{48917A4D-BD86-4E36-A622-2750785D5418}"/>
  </w:font>
  <w:font w:name="楷体_GB2312">
    <w:panose1 w:val="02010609030101010101"/>
    <w:charset w:val="86"/>
    <w:family w:val="modern"/>
    <w:pitch w:val="default"/>
    <w:sig w:usb0="00000001" w:usb1="080E0000" w:usb2="00000000" w:usb3="00000000" w:csb0="00040000" w:csb1="00000000"/>
    <w:embedRegular r:id="rId6" w:fontKey="{F4875A15-C2FB-49D2-B940-3CAF5F344BE7}"/>
  </w:font>
  <w:font w:name="Arial">
    <w:panose1 w:val="020B0604020202020204"/>
    <w:charset w:val="00"/>
    <w:family w:val="swiss"/>
    <w:pitch w:val="default"/>
    <w:sig w:usb0="E0002EFF" w:usb1="C000785B" w:usb2="00000009" w:usb3="00000000" w:csb0="400001FF" w:csb1="FFFF0000"/>
    <w:embedRegular r:id="rId7" w:fontKey="{78BC1DC1-CA78-4FCB-AB56-2FF4FF902AF1}"/>
  </w:font>
  <w:font w:name="楷体">
    <w:panose1 w:val="02010609060101010101"/>
    <w:charset w:val="86"/>
    <w:family w:val="modern"/>
    <w:pitch w:val="default"/>
    <w:sig w:usb0="800002BF" w:usb1="38CF7CFA" w:usb2="00000016" w:usb3="00000000" w:csb0="00040001" w:csb1="00000000"/>
    <w:embedRegular r:id="rId8" w:fontKey="{02F0A79B-955C-496B-83D7-0CBAD618E1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0BDE5"/>
    <w:multiLevelType w:val="singleLevel"/>
    <w:tmpl w:val="9280BDE5"/>
    <w:lvl w:ilvl="0" w:tentative="0">
      <w:start w:val="1"/>
      <w:numFmt w:val="decimal"/>
      <w:suff w:val="space"/>
      <w:lvlText w:val="%1."/>
      <w:lvlJc w:val="left"/>
    </w:lvl>
  </w:abstractNum>
  <w:abstractNum w:abstractNumId="1">
    <w:nsid w:val="990475E6"/>
    <w:multiLevelType w:val="singleLevel"/>
    <w:tmpl w:val="990475E6"/>
    <w:lvl w:ilvl="0" w:tentative="0">
      <w:start w:val="1"/>
      <w:numFmt w:val="decimal"/>
      <w:suff w:val="space"/>
      <w:lvlText w:val="（%1）"/>
      <w:lvlJc w:val="left"/>
    </w:lvl>
  </w:abstractNum>
  <w:abstractNum w:abstractNumId="2">
    <w:nsid w:val="DBD7FBEC"/>
    <w:multiLevelType w:val="singleLevel"/>
    <w:tmpl w:val="DBD7FBEC"/>
    <w:lvl w:ilvl="0" w:tentative="0">
      <w:start w:val="1"/>
      <w:numFmt w:val="decimal"/>
      <w:suff w:val="nothing"/>
      <w:lvlText w:val="%1、"/>
      <w:lvlJc w:val="left"/>
    </w:lvl>
  </w:abstractNum>
  <w:abstractNum w:abstractNumId="3">
    <w:nsid w:val="F9527F4C"/>
    <w:multiLevelType w:val="singleLevel"/>
    <w:tmpl w:val="F9527F4C"/>
    <w:lvl w:ilvl="0" w:tentative="0">
      <w:start w:val="1"/>
      <w:numFmt w:val="decimal"/>
      <w:suff w:val="space"/>
      <w:lvlText w:val="%1."/>
      <w:lvlJc w:val="left"/>
    </w:lvl>
  </w:abstractNum>
  <w:abstractNum w:abstractNumId="4">
    <w:nsid w:val="FF2470F7"/>
    <w:multiLevelType w:val="singleLevel"/>
    <w:tmpl w:val="FF2470F7"/>
    <w:lvl w:ilvl="0" w:tentative="0">
      <w:start w:val="1"/>
      <w:numFmt w:val="decimal"/>
      <w:suff w:val="nothing"/>
      <w:lvlText w:val="%1、"/>
      <w:lvlJc w:val="left"/>
    </w:lvl>
  </w:abstractNum>
  <w:abstractNum w:abstractNumId="5">
    <w:nsid w:val="28E10C9E"/>
    <w:multiLevelType w:val="multilevel"/>
    <w:tmpl w:val="28E10C9E"/>
    <w:lvl w:ilvl="0" w:tentative="0">
      <w:start w:val="1"/>
      <w:numFmt w:val="japaneseCounting"/>
      <w:lvlText w:val="%1、"/>
      <w:lvlJc w:val="left"/>
      <w:pPr>
        <w:ind w:left="1358" w:hanging="72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6">
    <w:nsid w:val="29D1EA3D"/>
    <w:multiLevelType w:val="singleLevel"/>
    <w:tmpl w:val="29D1EA3D"/>
    <w:lvl w:ilvl="0" w:tentative="0">
      <w:start w:val="1"/>
      <w:numFmt w:val="decimal"/>
      <w:suff w:val="space"/>
      <w:lvlText w:val="%1."/>
      <w:lvlJc w:val="left"/>
    </w:lvl>
  </w:abstractNum>
  <w:abstractNum w:abstractNumId="7">
    <w:nsid w:val="699DD74C"/>
    <w:multiLevelType w:val="singleLevel"/>
    <w:tmpl w:val="699DD74C"/>
    <w:lvl w:ilvl="0" w:tentative="0">
      <w:start w:val="1"/>
      <w:numFmt w:val="decimal"/>
      <w:suff w:val="space"/>
      <w:lvlText w:val="%1."/>
      <w:lvlJc w:val="left"/>
      <w:rPr>
        <w:rFonts w:hint="default" w:ascii="楷体" w:hAnsi="楷体" w:eastAsia="楷体" w:cs="楷体"/>
        <w:sz w:val="21"/>
        <w:szCs w:val="21"/>
      </w:rPr>
    </w:lvl>
  </w:abstractNum>
  <w:num w:numId="1">
    <w:abstractNumId w:val="5"/>
  </w:num>
  <w:num w:numId="2">
    <w:abstractNumId w:val="4"/>
  </w:num>
  <w:num w:numId="3">
    <w:abstractNumId w:val="1"/>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MWZlY2YzYWE5ZDAxZjg2ODlhZjEwMTRiZjUzMmQifQ=="/>
  </w:docVars>
  <w:rsids>
    <w:rsidRoot w:val="00D97EC9"/>
    <w:rsid w:val="00002CEA"/>
    <w:rsid w:val="00005CE1"/>
    <w:rsid w:val="000A6626"/>
    <w:rsid w:val="000C0B56"/>
    <w:rsid w:val="000F2BDE"/>
    <w:rsid w:val="00145F86"/>
    <w:rsid w:val="001575B5"/>
    <w:rsid w:val="00193383"/>
    <w:rsid w:val="001C1991"/>
    <w:rsid w:val="001D547A"/>
    <w:rsid w:val="001E75E2"/>
    <w:rsid w:val="002022A2"/>
    <w:rsid w:val="00212D03"/>
    <w:rsid w:val="00245CBE"/>
    <w:rsid w:val="002A05C0"/>
    <w:rsid w:val="002D43EE"/>
    <w:rsid w:val="002F10F2"/>
    <w:rsid w:val="0031387F"/>
    <w:rsid w:val="00334D70"/>
    <w:rsid w:val="003F5F00"/>
    <w:rsid w:val="00406006"/>
    <w:rsid w:val="004B5181"/>
    <w:rsid w:val="00531BCF"/>
    <w:rsid w:val="00551518"/>
    <w:rsid w:val="005B26D1"/>
    <w:rsid w:val="005D60CA"/>
    <w:rsid w:val="005F63C7"/>
    <w:rsid w:val="00610495"/>
    <w:rsid w:val="0061438E"/>
    <w:rsid w:val="00674613"/>
    <w:rsid w:val="006B250D"/>
    <w:rsid w:val="006D687B"/>
    <w:rsid w:val="00761A82"/>
    <w:rsid w:val="007914AA"/>
    <w:rsid w:val="007944F0"/>
    <w:rsid w:val="007A0D6E"/>
    <w:rsid w:val="00806B29"/>
    <w:rsid w:val="008317DE"/>
    <w:rsid w:val="00840204"/>
    <w:rsid w:val="008A1ED7"/>
    <w:rsid w:val="008E2195"/>
    <w:rsid w:val="00926FC7"/>
    <w:rsid w:val="00947C1C"/>
    <w:rsid w:val="00990DC3"/>
    <w:rsid w:val="009F1174"/>
    <w:rsid w:val="00A600A3"/>
    <w:rsid w:val="00A90573"/>
    <w:rsid w:val="00AA380A"/>
    <w:rsid w:val="00AA3B65"/>
    <w:rsid w:val="00B61CF6"/>
    <w:rsid w:val="00B91097"/>
    <w:rsid w:val="00BC7554"/>
    <w:rsid w:val="00C047A4"/>
    <w:rsid w:val="00C32EB0"/>
    <w:rsid w:val="00C816EA"/>
    <w:rsid w:val="00CA638D"/>
    <w:rsid w:val="00CB1184"/>
    <w:rsid w:val="00CB1DD2"/>
    <w:rsid w:val="00D573A7"/>
    <w:rsid w:val="00D60246"/>
    <w:rsid w:val="00D97EC9"/>
    <w:rsid w:val="00DD7E2E"/>
    <w:rsid w:val="00DE21F5"/>
    <w:rsid w:val="00E7032A"/>
    <w:rsid w:val="00ED57E3"/>
    <w:rsid w:val="00FB269D"/>
    <w:rsid w:val="00FB4F37"/>
    <w:rsid w:val="00FB7678"/>
    <w:rsid w:val="00FE3B29"/>
    <w:rsid w:val="00FE3C01"/>
    <w:rsid w:val="126F7D69"/>
    <w:rsid w:val="498518DC"/>
    <w:rsid w:val="4D655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uiPriority w:val="99"/>
    <w:rPr>
      <w:sz w:val="18"/>
      <w:szCs w:val="18"/>
    </w:rPr>
  </w:style>
  <w:style w:type="paragraph" w:styleId="16">
    <w:name w:val="List Paragraph"/>
    <w:basedOn w:val="1"/>
    <w:qFormat/>
    <w:uiPriority w:val="34"/>
    <w:pPr>
      <w:ind w:firstLine="420" w:firstLineChars="200"/>
    </w:pPr>
  </w:style>
  <w:style w:type="table" w:customStyle="1" w:styleId="17">
    <w:name w:val="网格型1"/>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703</Words>
  <Characters>4009</Characters>
  <Lines>33</Lines>
  <Paragraphs>9</Paragraphs>
  <TotalTime>1</TotalTime>
  <ScaleCrop>false</ScaleCrop>
  <LinksUpToDate>false</LinksUpToDate>
  <CharactersWithSpaces>4703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2023-09-22T06:47:00Z</dcterms:created>
  <dc:creator>11721</dc:creator>
  <cp:lastModifiedBy>予静</cp:lastModifiedBy>
  <dcterms:modified xsi:type="dcterms:W3CDTF">2023-09-26T16:42:49Z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6D4A51FD0B494367A7CC5FE6C33F79E9_12</vt:lpwstr>
  </property>
</Properties>
</file>